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188A" w:rsidRPr="000C1970" w:rsidRDefault="0014188A" w:rsidP="00F6685D">
      <w:pPr>
        <w:pStyle w:val="CC"/>
        <w:keepLines w:val="0"/>
        <w:tabs>
          <w:tab w:val="left" w:pos="720"/>
        </w:tabs>
        <w:spacing w:after="0"/>
        <w:ind w:left="0" w:firstLine="0"/>
        <w:jc w:val="center"/>
        <w:outlineLvl w:val="0"/>
        <w:rPr>
          <w:rFonts w:asciiTheme="minorBidi" w:hAnsiTheme="minorBidi" w:cstheme="minorBidi"/>
          <w:sz w:val="24"/>
          <w:szCs w:val="24"/>
        </w:rPr>
      </w:pPr>
      <w:r w:rsidRPr="000C1970">
        <w:rPr>
          <w:rFonts w:asciiTheme="minorBidi" w:hAnsiTheme="minorBidi" w:cstheme="minorBidi"/>
          <w:sz w:val="24"/>
          <w:szCs w:val="24"/>
        </w:rPr>
        <w:t>YESHIVAT HAR ETZION</w:t>
      </w:r>
    </w:p>
    <w:p w:rsidR="0014188A" w:rsidRPr="000C1970" w:rsidRDefault="0014188A" w:rsidP="00F6685D">
      <w:pPr>
        <w:pStyle w:val="CC"/>
        <w:keepLines w:val="0"/>
        <w:tabs>
          <w:tab w:val="left" w:pos="720"/>
        </w:tabs>
        <w:spacing w:after="0"/>
        <w:ind w:left="0" w:firstLine="0"/>
        <w:jc w:val="center"/>
        <w:rPr>
          <w:rFonts w:asciiTheme="minorBidi" w:hAnsiTheme="minorBidi" w:cstheme="minorBidi"/>
          <w:sz w:val="24"/>
          <w:szCs w:val="24"/>
        </w:rPr>
      </w:pPr>
      <w:r w:rsidRPr="000C1970">
        <w:rPr>
          <w:rFonts w:asciiTheme="minorBidi" w:hAnsiTheme="minorBidi" w:cstheme="minorBidi"/>
          <w:sz w:val="24"/>
          <w:szCs w:val="24"/>
        </w:rPr>
        <w:t>ISRAEL KOSCHITZKY VIRTUAL BEIT MIDRASH (VBM)</w:t>
      </w:r>
    </w:p>
    <w:p w:rsidR="0014188A" w:rsidRPr="000C1970" w:rsidRDefault="0014188A" w:rsidP="00F6685D">
      <w:pPr>
        <w:pStyle w:val="CC"/>
        <w:keepLines w:val="0"/>
        <w:tabs>
          <w:tab w:val="left" w:pos="720"/>
        </w:tabs>
        <w:spacing w:after="0"/>
        <w:ind w:left="0" w:firstLine="0"/>
        <w:jc w:val="center"/>
        <w:rPr>
          <w:rFonts w:asciiTheme="minorBidi" w:hAnsiTheme="minorBidi" w:cstheme="minorBidi"/>
          <w:sz w:val="24"/>
          <w:szCs w:val="24"/>
        </w:rPr>
      </w:pPr>
      <w:r w:rsidRPr="000C1970">
        <w:rPr>
          <w:rFonts w:asciiTheme="minorBidi" w:hAnsiTheme="minorBidi" w:cstheme="minorBidi"/>
          <w:sz w:val="24"/>
          <w:szCs w:val="24"/>
        </w:rPr>
        <w:t>*********************************************************</w:t>
      </w:r>
    </w:p>
    <w:p w:rsidR="0014188A" w:rsidRPr="000C1970" w:rsidRDefault="0014188A" w:rsidP="00F6685D">
      <w:pPr>
        <w:pStyle w:val="CC"/>
        <w:keepLines w:val="0"/>
        <w:tabs>
          <w:tab w:val="left" w:pos="720"/>
        </w:tabs>
        <w:spacing w:after="0"/>
        <w:ind w:left="0" w:firstLine="0"/>
        <w:jc w:val="center"/>
        <w:rPr>
          <w:rFonts w:asciiTheme="minorBidi" w:hAnsiTheme="minorBidi" w:cstheme="minorBidi"/>
          <w:sz w:val="24"/>
          <w:szCs w:val="24"/>
        </w:rPr>
      </w:pPr>
    </w:p>
    <w:p w:rsidR="0014188A" w:rsidRPr="000C1970" w:rsidRDefault="0014188A" w:rsidP="00F6685D">
      <w:pPr>
        <w:pStyle w:val="CC"/>
        <w:keepLines w:val="0"/>
        <w:tabs>
          <w:tab w:val="left" w:pos="720"/>
        </w:tabs>
        <w:spacing w:after="0"/>
        <w:ind w:left="0" w:firstLine="0"/>
        <w:jc w:val="center"/>
        <w:outlineLvl w:val="0"/>
        <w:rPr>
          <w:rFonts w:asciiTheme="minorBidi" w:hAnsiTheme="minorBidi" w:cstheme="minorBidi"/>
          <w:sz w:val="24"/>
          <w:szCs w:val="24"/>
        </w:rPr>
      </w:pPr>
      <w:r w:rsidRPr="000C1970">
        <w:rPr>
          <w:rFonts w:asciiTheme="minorBidi" w:hAnsiTheme="minorBidi" w:cstheme="minorBidi"/>
          <w:sz w:val="24"/>
          <w:szCs w:val="24"/>
        </w:rPr>
        <w:t>GEOGRAPHY IN THE PARASHA</w:t>
      </w:r>
    </w:p>
    <w:p w:rsidR="0014188A" w:rsidRDefault="0014188A" w:rsidP="00F6685D">
      <w:pPr>
        <w:pStyle w:val="CC"/>
        <w:keepLines w:val="0"/>
        <w:tabs>
          <w:tab w:val="left" w:pos="720"/>
        </w:tabs>
        <w:spacing w:after="0"/>
        <w:ind w:left="0" w:firstLine="0"/>
        <w:jc w:val="center"/>
        <w:rPr>
          <w:rFonts w:asciiTheme="minorBidi" w:hAnsiTheme="minorBidi" w:cstheme="minorBidi"/>
          <w:sz w:val="24"/>
          <w:szCs w:val="24"/>
        </w:rPr>
      </w:pPr>
    </w:p>
    <w:p w:rsidR="00F6685D" w:rsidRPr="000C1970" w:rsidRDefault="00F6685D" w:rsidP="00F6685D">
      <w:pPr>
        <w:pStyle w:val="CC"/>
        <w:keepLines w:val="0"/>
        <w:tabs>
          <w:tab w:val="left" w:pos="720"/>
        </w:tabs>
        <w:spacing w:after="0"/>
        <w:ind w:left="0" w:firstLine="0"/>
        <w:jc w:val="center"/>
        <w:rPr>
          <w:rFonts w:asciiTheme="minorBidi" w:hAnsiTheme="minorBidi" w:cstheme="minorBidi"/>
          <w:sz w:val="24"/>
          <w:szCs w:val="24"/>
        </w:rPr>
      </w:pPr>
    </w:p>
    <w:p w:rsidR="0014188A" w:rsidRPr="00386CCD" w:rsidRDefault="0014188A" w:rsidP="00F6685D">
      <w:pPr>
        <w:spacing w:after="0" w:line="240" w:lineRule="auto"/>
        <w:jc w:val="center"/>
        <w:outlineLvl w:val="0"/>
        <w:rPr>
          <w:rFonts w:asciiTheme="minorBidi" w:hAnsiTheme="minorBidi"/>
          <w:b/>
          <w:bCs/>
          <w:i/>
          <w:iCs/>
          <w:sz w:val="24"/>
          <w:szCs w:val="24"/>
        </w:rPr>
      </w:pPr>
      <w:r w:rsidRPr="000C1970">
        <w:rPr>
          <w:rFonts w:asciiTheme="minorBidi" w:hAnsiTheme="minorBidi"/>
          <w:b/>
          <w:bCs/>
          <w:i/>
          <w:iCs/>
          <w:sz w:val="24"/>
          <w:szCs w:val="24"/>
        </w:rPr>
        <w:t xml:space="preserve">PARASHAT </w:t>
      </w:r>
      <w:r w:rsidR="003050A5">
        <w:rPr>
          <w:rFonts w:asciiTheme="minorBidi" w:hAnsiTheme="minorBidi"/>
          <w:b/>
          <w:bCs/>
          <w:i/>
          <w:iCs/>
          <w:sz w:val="24"/>
          <w:szCs w:val="24"/>
        </w:rPr>
        <w:t>NASO</w:t>
      </w:r>
    </w:p>
    <w:p w:rsidR="0014188A" w:rsidRPr="000C1970" w:rsidRDefault="0014188A" w:rsidP="00F6685D">
      <w:pPr>
        <w:spacing w:after="0" w:line="240" w:lineRule="auto"/>
        <w:jc w:val="center"/>
        <w:rPr>
          <w:rFonts w:asciiTheme="minorBidi" w:hAnsiTheme="minorBidi"/>
          <w:b/>
          <w:bCs/>
          <w:sz w:val="24"/>
          <w:szCs w:val="24"/>
        </w:rPr>
      </w:pPr>
    </w:p>
    <w:p w:rsidR="004A6EF7" w:rsidRPr="00386CCD" w:rsidRDefault="00CD64DB" w:rsidP="00F6685D">
      <w:pPr>
        <w:spacing w:after="0" w:line="240" w:lineRule="auto"/>
        <w:jc w:val="center"/>
        <w:outlineLvl w:val="0"/>
        <w:rPr>
          <w:rFonts w:asciiTheme="minorBidi" w:hAnsiTheme="minorBidi"/>
          <w:b/>
          <w:bCs/>
          <w:i/>
          <w:iCs/>
          <w:sz w:val="24"/>
          <w:szCs w:val="24"/>
        </w:rPr>
      </w:pPr>
      <w:r>
        <w:rPr>
          <w:rFonts w:asciiTheme="minorBidi" w:hAnsiTheme="minorBidi"/>
          <w:b/>
          <w:bCs/>
          <w:sz w:val="24"/>
          <w:szCs w:val="24"/>
        </w:rPr>
        <w:t>Zorah and Eshtaol and the Territory of Dan</w:t>
      </w:r>
    </w:p>
    <w:p w:rsidR="00F7770D" w:rsidRPr="000C1970" w:rsidRDefault="00F7770D" w:rsidP="00F6685D">
      <w:pPr>
        <w:spacing w:after="0" w:line="240" w:lineRule="auto"/>
        <w:jc w:val="center"/>
        <w:rPr>
          <w:rFonts w:asciiTheme="minorBidi" w:hAnsiTheme="minorBidi"/>
          <w:b/>
          <w:bCs/>
          <w:sz w:val="24"/>
          <w:szCs w:val="24"/>
        </w:rPr>
      </w:pPr>
      <w:r w:rsidRPr="000C1970">
        <w:rPr>
          <w:rFonts w:asciiTheme="minorBidi" w:hAnsiTheme="minorBidi"/>
          <w:b/>
          <w:bCs/>
          <w:sz w:val="24"/>
          <w:szCs w:val="24"/>
        </w:rPr>
        <w:t xml:space="preserve">By </w:t>
      </w:r>
      <w:r w:rsidR="003241CE" w:rsidRPr="000C1970">
        <w:rPr>
          <w:rFonts w:asciiTheme="minorBidi" w:hAnsiTheme="minorBidi"/>
          <w:b/>
          <w:bCs/>
          <w:sz w:val="24"/>
          <w:szCs w:val="24"/>
        </w:rPr>
        <w:t>Prof.</w:t>
      </w:r>
      <w:r w:rsidRPr="000C1970">
        <w:rPr>
          <w:rFonts w:asciiTheme="minorBidi" w:hAnsiTheme="minorBidi"/>
          <w:b/>
          <w:bCs/>
          <w:sz w:val="24"/>
          <w:szCs w:val="24"/>
        </w:rPr>
        <w:t xml:space="preserve"> Yoel Elitzur</w:t>
      </w:r>
    </w:p>
    <w:p w:rsidR="0077133E" w:rsidRPr="000C1970" w:rsidRDefault="0077133E" w:rsidP="00F6685D">
      <w:pPr>
        <w:spacing w:after="0" w:line="240" w:lineRule="auto"/>
        <w:jc w:val="both"/>
        <w:rPr>
          <w:rFonts w:asciiTheme="minorBidi" w:hAnsiTheme="minorBidi"/>
          <w:b/>
          <w:bCs/>
          <w:sz w:val="24"/>
          <w:szCs w:val="24"/>
        </w:rPr>
      </w:pPr>
    </w:p>
    <w:p w:rsidR="00CA4AC4" w:rsidRDefault="00CA4AC4" w:rsidP="00F6685D">
      <w:pPr>
        <w:spacing w:after="0" w:line="240" w:lineRule="auto"/>
        <w:jc w:val="both"/>
        <w:outlineLvl w:val="0"/>
        <w:rPr>
          <w:rFonts w:asciiTheme="minorBidi" w:hAnsiTheme="minorBidi"/>
          <w:sz w:val="24"/>
          <w:szCs w:val="24"/>
        </w:rPr>
      </w:pPr>
    </w:p>
    <w:p w:rsidR="00961B1F" w:rsidRDefault="00CA4AC4" w:rsidP="00F6685D">
      <w:pPr>
        <w:spacing w:after="0" w:line="240" w:lineRule="auto"/>
        <w:ind w:firstLine="720"/>
        <w:jc w:val="both"/>
        <w:outlineLvl w:val="0"/>
        <w:rPr>
          <w:rFonts w:asciiTheme="minorBidi" w:hAnsiTheme="minorBidi"/>
          <w:sz w:val="24"/>
          <w:szCs w:val="24"/>
        </w:rPr>
      </w:pPr>
      <w:r>
        <w:rPr>
          <w:rFonts w:asciiTheme="minorBidi" w:hAnsiTheme="minorBidi"/>
          <w:sz w:val="24"/>
          <w:szCs w:val="24"/>
        </w:rPr>
        <w:t xml:space="preserve">This week’s </w:t>
      </w:r>
      <w:r>
        <w:rPr>
          <w:rFonts w:asciiTheme="minorBidi" w:hAnsiTheme="minorBidi"/>
          <w:i/>
          <w:iCs/>
          <w:sz w:val="24"/>
          <w:szCs w:val="24"/>
        </w:rPr>
        <w:t>haftara</w:t>
      </w:r>
      <w:r>
        <w:rPr>
          <w:rFonts w:asciiTheme="minorBidi" w:hAnsiTheme="minorBidi"/>
          <w:sz w:val="24"/>
          <w:szCs w:val="24"/>
        </w:rPr>
        <w:t xml:space="preserve"> begins, “There was a certain man from Zorah, of the </w:t>
      </w:r>
      <w:r w:rsidR="0025745C">
        <w:rPr>
          <w:rFonts w:asciiTheme="minorBidi" w:hAnsiTheme="minorBidi"/>
          <w:sz w:val="24"/>
          <w:szCs w:val="24"/>
        </w:rPr>
        <w:t>family</w:t>
      </w:r>
      <w:r>
        <w:rPr>
          <w:rFonts w:asciiTheme="minorBidi" w:hAnsiTheme="minorBidi"/>
          <w:sz w:val="24"/>
          <w:szCs w:val="24"/>
        </w:rPr>
        <w:t xml:space="preserve"> of </w:t>
      </w:r>
      <w:r w:rsidR="0025745C">
        <w:rPr>
          <w:rFonts w:asciiTheme="minorBidi" w:hAnsiTheme="minorBidi"/>
          <w:sz w:val="24"/>
          <w:szCs w:val="24"/>
        </w:rPr>
        <w:t xml:space="preserve">the </w:t>
      </w:r>
      <w:r>
        <w:rPr>
          <w:rFonts w:asciiTheme="minorBidi" w:hAnsiTheme="minorBidi"/>
          <w:sz w:val="24"/>
          <w:szCs w:val="24"/>
        </w:rPr>
        <w:t>Dan</w:t>
      </w:r>
      <w:r w:rsidR="0025745C">
        <w:rPr>
          <w:rFonts w:asciiTheme="minorBidi" w:hAnsiTheme="minorBidi"/>
          <w:sz w:val="24"/>
          <w:szCs w:val="24"/>
        </w:rPr>
        <w:t>ites</w:t>
      </w:r>
      <w:r>
        <w:rPr>
          <w:rFonts w:asciiTheme="minorBidi" w:hAnsiTheme="minorBidi"/>
          <w:sz w:val="24"/>
          <w:szCs w:val="24"/>
        </w:rPr>
        <w:t>” (Judges 13:2) and concludes, “The spirit of the Lord first moved him in the encampment of Dan, between Zorah and Eshtaol” (13:24).</w:t>
      </w:r>
    </w:p>
    <w:p w:rsidR="00CA4AC4" w:rsidRDefault="00CA4AC4" w:rsidP="00F6685D">
      <w:pPr>
        <w:spacing w:after="0" w:line="240" w:lineRule="auto"/>
        <w:jc w:val="both"/>
        <w:outlineLvl w:val="0"/>
        <w:rPr>
          <w:rFonts w:asciiTheme="minorBidi" w:hAnsiTheme="minorBidi"/>
          <w:sz w:val="24"/>
          <w:szCs w:val="24"/>
        </w:rPr>
      </w:pPr>
    </w:p>
    <w:p w:rsidR="00CA4AC4" w:rsidRDefault="00CA4AC4" w:rsidP="00F6685D">
      <w:pPr>
        <w:spacing w:after="0" w:line="240" w:lineRule="auto"/>
        <w:jc w:val="both"/>
        <w:outlineLvl w:val="0"/>
        <w:rPr>
          <w:rFonts w:asciiTheme="minorBidi" w:hAnsiTheme="minorBidi"/>
          <w:sz w:val="24"/>
          <w:szCs w:val="24"/>
        </w:rPr>
      </w:pPr>
      <w:r>
        <w:rPr>
          <w:rFonts w:asciiTheme="minorBidi" w:hAnsiTheme="minorBidi"/>
          <w:b/>
          <w:bCs/>
          <w:sz w:val="24"/>
          <w:szCs w:val="24"/>
        </w:rPr>
        <w:t>Zorah</w:t>
      </w:r>
    </w:p>
    <w:p w:rsidR="00CA4AC4" w:rsidRDefault="00CA4AC4" w:rsidP="00F6685D">
      <w:pPr>
        <w:spacing w:after="0" w:line="240" w:lineRule="auto"/>
        <w:jc w:val="both"/>
        <w:outlineLvl w:val="0"/>
        <w:rPr>
          <w:rFonts w:asciiTheme="minorBidi" w:hAnsiTheme="minorBidi"/>
          <w:sz w:val="24"/>
          <w:szCs w:val="24"/>
        </w:rPr>
      </w:pPr>
    </w:p>
    <w:p w:rsidR="00CA4AC4" w:rsidRDefault="00CA4AC4" w:rsidP="00F6685D">
      <w:pPr>
        <w:spacing w:after="0" w:line="240" w:lineRule="auto"/>
        <w:jc w:val="both"/>
        <w:outlineLvl w:val="0"/>
        <w:rPr>
          <w:rFonts w:asciiTheme="minorBidi" w:hAnsiTheme="minorBidi"/>
          <w:sz w:val="24"/>
          <w:szCs w:val="24"/>
        </w:rPr>
      </w:pPr>
      <w:r>
        <w:rPr>
          <w:rFonts w:asciiTheme="minorBidi" w:hAnsiTheme="minorBidi"/>
          <w:sz w:val="24"/>
          <w:szCs w:val="24"/>
        </w:rPr>
        <w:tab/>
        <w:t xml:space="preserve">Zorah and Eshtaol are a pair of cites that are usually mentioned together. Zorah was the more important of the two, and it is sometimes mentioned alone. For precision’s sake, Eshtaol is mentioned eight times in the </w:t>
      </w:r>
      <w:r>
        <w:rPr>
          <w:rFonts w:asciiTheme="minorBidi" w:hAnsiTheme="minorBidi"/>
          <w:i/>
          <w:iCs/>
          <w:sz w:val="24"/>
          <w:szCs w:val="24"/>
        </w:rPr>
        <w:t>Tanakh</w:t>
      </w:r>
      <w:r>
        <w:rPr>
          <w:rFonts w:asciiTheme="minorBidi" w:hAnsiTheme="minorBidi"/>
          <w:sz w:val="24"/>
          <w:szCs w:val="24"/>
        </w:rPr>
        <w:t xml:space="preserve">, always together with Zorah. Zorah is mentioned an additional five times alone. Zorah is also mentioned in one extrabiblical source from the Biblical period – in the Amarna Letters from the early fourteenth century BCE: “May the king, my lord, know that the </w:t>
      </w:r>
      <w:r w:rsidR="00C76C84">
        <w:rPr>
          <w:rFonts w:ascii="Arial Unicode MS" w:eastAsia="Arial Unicode MS" w:hAnsi="Arial Unicode MS" w:cs="Arial Unicode MS" w:hint="eastAsia"/>
          <w:sz w:val="24"/>
          <w:szCs w:val="24"/>
        </w:rPr>
        <w:t>Ḫ</w:t>
      </w:r>
      <w:r w:rsidR="00C76C84">
        <w:rPr>
          <w:rFonts w:asciiTheme="minorBidi" w:hAnsiTheme="minorBidi"/>
          <w:sz w:val="24"/>
          <w:szCs w:val="24"/>
        </w:rPr>
        <w:t>abiru</w:t>
      </w:r>
      <w:r>
        <w:rPr>
          <w:rFonts w:asciiTheme="minorBidi" w:hAnsiTheme="minorBidi"/>
          <w:sz w:val="24"/>
          <w:szCs w:val="24"/>
        </w:rPr>
        <w:t xml:space="preserve"> wrote</w:t>
      </w:r>
      <w:r w:rsidR="00CC722C">
        <w:rPr>
          <w:rFonts w:asciiTheme="minorBidi" w:hAnsiTheme="minorBidi"/>
          <w:sz w:val="24"/>
          <w:szCs w:val="24"/>
        </w:rPr>
        <w:t xml:space="preserve"> (or sent)</w:t>
      </w:r>
      <w:r>
        <w:rPr>
          <w:rFonts w:asciiTheme="minorBidi" w:hAnsiTheme="minorBidi"/>
          <w:sz w:val="24"/>
          <w:szCs w:val="24"/>
        </w:rPr>
        <w:t xml:space="preserve"> to </w:t>
      </w:r>
      <w:r w:rsidR="00192896">
        <w:rPr>
          <w:rFonts w:asciiTheme="minorBidi" w:hAnsiTheme="minorBidi"/>
          <w:sz w:val="24"/>
          <w:szCs w:val="24"/>
        </w:rPr>
        <w:t>A</w:t>
      </w:r>
      <w:r w:rsidR="00233455">
        <w:rPr>
          <w:rFonts w:asciiTheme="minorBidi" w:hAnsiTheme="minorBidi"/>
          <w:sz w:val="24"/>
          <w:szCs w:val="24"/>
        </w:rPr>
        <w:t>i</w:t>
      </w:r>
      <w:r w:rsidR="00192896">
        <w:rPr>
          <w:rFonts w:asciiTheme="minorBidi" w:hAnsiTheme="minorBidi"/>
          <w:sz w:val="24"/>
          <w:szCs w:val="24"/>
        </w:rPr>
        <w:t>j</w:t>
      </w:r>
      <w:r>
        <w:rPr>
          <w:rFonts w:asciiTheme="minorBidi" w:hAnsiTheme="minorBidi"/>
          <w:sz w:val="24"/>
          <w:szCs w:val="24"/>
        </w:rPr>
        <w:t>alon (</w:t>
      </w:r>
      <w:r w:rsidRPr="00CA4AC4">
        <w:rPr>
          <w:rFonts w:asciiTheme="minorBidi" w:hAnsiTheme="minorBidi"/>
          <w:sz w:val="24"/>
          <w:szCs w:val="24"/>
          <w:vertAlign w:val="superscript"/>
        </w:rPr>
        <w:t>URU</w:t>
      </w:r>
      <w:r>
        <w:rPr>
          <w:rFonts w:asciiTheme="minorBidi" w:hAnsiTheme="minorBidi"/>
          <w:sz w:val="24"/>
          <w:szCs w:val="24"/>
        </w:rPr>
        <w:t>a-ya-lu-na) and to Zorah</w:t>
      </w:r>
      <w:r w:rsidR="00192896">
        <w:rPr>
          <w:rFonts w:asciiTheme="minorBidi" w:hAnsiTheme="minorBidi"/>
          <w:sz w:val="24"/>
          <w:szCs w:val="24"/>
        </w:rPr>
        <w:t xml:space="preserve"> </w:t>
      </w:r>
      <w:r w:rsidR="00192896" w:rsidRPr="00192896">
        <w:rPr>
          <w:rFonts w:ascii="Arial Unicode MS" w:eastAsia="Arial Unicode MS" w:hAnsi="Arial Unicode MS" w:cs="Arial Unicode MS"/>
          <w:sz w:val="24"/>
          <w:szCs w:val="24"/>
        </w:rPr>
        <w:t>(</w:t>
      </w:r>
      <w:r w:rsidR="00192896" w:rsidRPr="00192896">
        <w:rPr>
          <w:rFonts w:ascii="Arial Unicode MS" w:eastAsia="Arial Unicode MS" w:hAnsi="Arial Unicode MS" w:cs="Arial Unicode MS"/>
          <w:sz w:val="24"/>
          <w:szCs w:val="24"/>
          <w:vertAlign w:val="superscript"/>
        </w:rPr>
        <w:t>URU</w:t>
      </w:r>
      <w:r w:rsidR="00192896" w:rsidRPr="00192896">
        <w:rPr>
          <w:rFonts w:ascii="Arial Unicode MS" w:eastAsia="Arial Unicode MS" w:hAnsi="Arial Unicode MS" w:cs="Arial Unicode MS"/>
          <w:sz w:val="24"/>
          <w:szCs w:val="24"/>
        </w:rPr>
        <w:t>ṣa-ar-ḫa)</w:t>
      </w:r>
      <w:r>
        <w:rPr>
          <w:rFonts w:asciiTheme="minorBidi" w:hAnsiTheme="minorBidi"/>
          <w:sz w:val="24"/>
          <w:szCs w:val="24"/>
        </w:rPr>
        <w:t xml:space="preserve">, and the two sons of Milkilu </w:t>
      </w:r>
      <w:r w:rsidR="00192896">
        <w:rPr>
          <w:rFonts w:asciiTheme="minorBidi" w:hAnsiTheme="minorBidi"/>
          <w:sz w:val="24"/>
          <w:szCs w:val="24"/>
        </w:rPr>
        <w:t xml:space="preserve">[the ruler of Gezer] </w:t>
      </w:r>
      <w:r>
        <w:rPr>
          <w:rFonts w:asciiTheme="minorBidi" w:hAnsiTheme="minorBidi"/>
          <w:sz w:val="24"/>
          <w:szCs w:val="24"/>
        </w:rPr>
        <w:t>barely escaped being killed” (EA 273)</w:t>
      </w:r>
      <w:r w:rsidR="00192896">
        <w:rPr>
          <w:rFonts w:asciiTheme="minorBidi" w:hAnsiTheme="minorBidi"/>
          <w:sz w:val="24"/>
          <w:szCs w:val="24"/>
        </w:rPr>
        <w:t>. Based on the chronology that I consider correct, it may be that this letter constitutes a testimony of the Israelite conquest of the land of Israel.</w:t>
      </w:r>
      <w:r w:rsidR="00192896">
        <w:rPr>
          <w:rStyle w:val="FootnoteReference"/>
          <w:rFonts w:asciiTheme="minorBidi" w:hAnsiTheme="minorBidi"/>
          <w:sz w:val="24"/>
          <w:szCs w:val="24"/>
        </w:rPr>
        <w:footnoteReference w:id="1"/>
      </w:r>
      <w:r w:rsidR="00192896">
        <w:rPr>
          <w:rFonts w:asciiTheme="minorBidi" w:hAnsiTheme="minorBidi"/>
          <w:sz w:val="24"/>
          <w:szCs w:val="24"/>
        </w:rPr>
        <w:t xml:space="preserve"> </w:t>
      </w:r>
    </w:p>
    <w:p w:rsidR="00192896" w:rsidRDefault="00192896" w:rsidP="00F6685D">
      <w:pPr>
        <w:spacing w:after="0" w:line="240" w:lineRule="auto"/>
        <w:jc w:val="both"/>
        <w:outlineLvl w:val="0"/>
        <w:rPr>
          <w:rFonts w:asciiTheme="minorBidi" w:hAnsiTheme="minorBidi"/>
          <w:sz w:val="24"/>
          <w:szCs w:val="24"/>
        </w:rPr>
      </w:pPr>
    </w:p>
    <w:p w:rsidR="00D85957" w:rsidRDefault="00192896" w:rsidP="00F6685D">
      <w:pPr>
        <w:spacing w:after="0" w:line="240" w:lineRule="auto"/>
        <w:jc w:val="both"/>
        <w:outlineLvl w:val="0"/>
        <w:rPr>
          <w:rFonts w:asciiTheme="minorBidi" w:hAnsiTheme="minorBidi"/>
          <w:sz w:val="24"/>
          <w:szCs w:val="24"/>
        </w:rPr>
      </w:pPr>
      <w:r>
        <w:rPr>
          <w:rFonts w:asciiTheme="minorBidi" w:hAnsiTheme="minorBidi"/>
          <w:sz w:val="24"/>
          <w:szCs w:val="24"/>
        </w:rPr>
        <w:tab/>
        <w:t xml:space="preserve">The name Zorah was preserved in the name </w:t>
      </w:r>
      <w:r w:rsidR="00BD1280">
        <w:rPr>
          <w:rFonts w:ascii="Arial Unicode MS" w:eastAsia="Arial Unicode MS" w:hAnsi="Arial Unicode MS" w:cs="Arial Unicode MS" w:hint="eastAsia"/>
          <w:sz w:val="24"/>
          <w:szCs w:val="24"/>
        </w:rPr>
        <w:t>Ṣ</w:t>
      </w:r>
      <w:r>
        <w:rPr>
          <w:rFonts w:asciiTheme="minorBidi" w:hAnsiTheme="minorBidi"/>
          <w:sz w:val="24"/>
          <w:szCs w:val="24"/>
        </w:rPr>
        <w:t>ar’a,</w:t>
      </w:r>
      <w:r>
        <w:rPr>
          <w:rStyle w:val="FootnoteReference"/>
          <w:rFonts w:asciiTheme="minorBidi" w:hAnsiTheme="minorBidi"/>
          <w:sz w:val="24"/>
          <w:szCs w:val="24"/>
        </w:rPr>
        <w:footnoteReference w:id="2"/>
      </w:r>
      <w:r>
        <w:rPr>
          <w:rFonts w:asciiTheme="minorBidi" w:hAnsiTheme="minorBidi"/>
          <w:sz w:val="24"/>
          <w:szCs w:val="24"/>
        </w:rPr>
        <w:t xml:space="preserve"> an Arab village that was destroyed during the War of Independence. The village is located </w:t>
      </w:r>
      <w:r w:rsidR="00114158">
        <w:rPr>
          <w:rFonts w:asciiTheme="minorBidi" w:hAnsiTheme="minorBidi"/>
          <w:sz w:val="24"/>
          <w:szCs w:val="24"/>
        </w:rPr>
        <w:t>adjacent</w:t>
      </w:r>
      <w:r>
        <w:rPr>
          <w:rFonts w:asciiTheme="minorBidi" w:hAnsiTheme="minorBidi"/>
          <w:sz w:val="24"/>
          <w:szCs w:val="24"/>
        </w:rPr>
        <w:t xml:space="preserve"> to </w:t>
      </w:r>
      <w:r w:rsidR="00BD1280">
        <w:rPr>
          <w:rFonts w:asciiTheme="minorBidi" w:hAnsiTheme="minorBidi"/>
          <w:sz w:val="24"/>
          <w:szCs w:val="24"/>
        </w:rPr>
        <w:t xml:space="preserve">a </w:t>
      </w:r>
      <w:r>
        <w:rPr>
          <w:rFonts w:asciiTheme="minorBidi" w:hAnsiTheme="minorBidi"/>
          <w:sz w:val="24"/>
          <w:szCs w:val="24"/>
        </w:rPr>
        <w:t xml:space="preserve">summit just over a mile northeast of Kibbutz Tzora, between the moshav of Tarum and the Shimshon industrial area. </w:t>
      </w:r>
      <w:r w:rsidR="0096235A">
        <w:rPr>
          <w:rFonts w:asciiTheme="minorBidi" w:hAnsiTheme="minorBidi"/>
          <w:sz w:val="24"/>
          <w:szCs w:val="24"/>
        </w:rPr>
        <w:t>The peak overlooking the village contains two grave markers</w:t>
      </w:r>
      <w:r w:rsidR="00114158">
        <w:rPr>
          <w:rFonts w:asciiTheme="minorBidi" w:hAnsiTheme="minorBidi"/>
          <w:sz w:val="24"/>
          <w:szCs w:val="24"/>
        </w:rPr>
        <w:t>.</w:t>
      </w:r>
      <w:r w:rsidR="00114158">
        <w:rPr>
          <w:rStyle w:val="FootnoteReference"/>
          <w:rFonts w:asciiTheme="minorBidi" w:hAnsiTheme="minorBidi"/>
          <w:sz w:val="24"/>
          <w:szCs w:val="24"/>
        </w:rPr>
        <w:footnoteReference w:id="3"/>
      </w:r>
      <w:r w:rsidR="00285B1B">
        <w:rPr>
          <w:rFonts w:asciiTheme="minorBidi" w:hAnsiTheme="minorBidi"/>
          <w:sz w:val="24"/>
          <w:szCs w:val="24"/>
        </w:rPr>
        <w:t xml:space="preserve"> </w:t>
      </w:r>
      <w:r w:rsidR="00114158">
        <w:rPr>
          <w:rFonts w:asciiTheme="minorBidi" w:hAnsiTheme="minorBidi"/>
          <w:sz w:val="24"/>
          <w:szCs w:val="24"/>
        </w:rPr>
        <w:t>A recent Jewish tradition identifies these graves as those of Samson and his father, an identification that runs counter to the verse “they buried him between Zorah and Eshtaol” (Judges 16:31), as these graves are</w:t>
      </w:r>
      <w:bookmarkStart w:id="0" w:name="_GoBack"/>
      <w:bookmarkEnd w:id="0"/>
      <w:r w:rsidR="00114158">
        <w:rPr>
          <w:rFonts w:asciiTheme="minorBidi" w:hAnsiTheme="minorBidi"/>
          <w:sz w:val="24"/>
          <w:szCs w:val="24"/>
        </w:rPr>
        <w:t xml:space="preserve"> adjacent to Zorah itself. The area surrounding the summit is full of ancient cuttings (including an oil press cave from the Roman-Byzantine period), which teaches us that this region was located outside the limits of the </w:t>
      </w:r>
      <w:r w:rsidR="00114158">
        <w:rPr>
          <w:rFonts w:asciiTheme="minorBidi" w:hAnsiTheme="minorBidi"/>
          <w:sz w:val="24"/>
          <w:szCs w:val="24"/>
        </w:rPr>
        <w:lastRenderedPageBreak/>
        <w:t>ancient city</w:t>
      </w:r>
      <w:r w:rsidR="00BD1280">
        <w:rPr>
          <w:rFonts w:asciiTheme="minorBidi" w:hAnsiTheme="minorBidi"/>
          <w:sz w:val="24"/>
          <w:szCs w:val="24"/>
        </w:rPr>
        <w:t xml:space="preserve"> itself</w:t>
      </w:r>
      <w:r w:rsidR="00114158">
        <w:rPr>
          <w:rFonts w:asciiTheme="minorBidi" w:hAnsiTheme="minorBidi"/>
          <w:sz w:val="24"/>
          <w:szCs w:val="24"/>
        </w:rPr>
        <w:t>.</w:t>
      </w:r>
      <w:r w:rsidR="00D85957">
        <w:rPr>
          <w:rFonts w:asciiTheme="minorBidi" w:hAnsiTheme="minorBidi"/>
          <w:sz w:val="24"/>
          <w:szCs w:val="24"/>
        </w:rPr>
        <w:t xml:space="preserve"> In the area of the destroyed village, ancient building stones and pottery can be seen. Excavations have not been undertaken there. </w:t>
      </w:r>
    </w:p>
    <w:p w:rsidR="00D85957" w:rsidRDefault="00D85957" w:rsidP="00F6685D">
      <w:pPr>
        <w:spacing w:after="0" w:line="240" w:lineRule="auto"/>
        <w:jc w:val="both"/>
        <w:outlineLvl w:val="0"/>
        <w:rPr>
          <w:rFonts w:asciiTheme="minorBidi" w:hAnsiTheme="minorBidi"/>
          <w:sz w:val="24"/>
          <w:szCs w:val="24"/>
        </w:rPr>
      </w:pPr>
    </w:p>
    <w:p w:rsidR="00192896" w:rsidRDefault="00D85957" w:rsidP="00F6685D">
      <w:pPr>
        <w:spacing w:after="0" w:line="240" w:lineRule="auto"/>
        <w:ind w:firstLine="720"/>
        <w:jc w:val="both"/>
        <w:outlineLvl w:val="0"/>
        <w:rPr>
          <w:rFonts w:asciiTheme="minorBidi" w:hAnsiTheme="minorBidi"/>
          <w:sz w:val="24"/>
          <w:szCs w:val="24"/>
          <w:rtl/>
        </w:rPr>
      </w:pPr>
      <w:r>
        <w:rPr>
          <w:rFonts w:asciiTheme="minorBidi" w:hAnsiTheme="minorBidi"/>
          <w:sz w:val="24"/>
          <w:szCs w:val="24"/>
        </w:rPr>
        <w:t xml:space="preserve">At the foot of the hill, at the edge of the industrial area, there </w:t>
      </w:r>
      <w:r w:rsidR="001335E6">
        <w:rPr>
          <w:rFonts w:asciiTheme="minorBidi" w:hAnsiTheme="minorBidi"/>
          <w:sz w:val="24"/>
          <w:szCs w:val="24"/>
        </w:rPr>
        <w:t xml:space="preserve">is </w:t>
      </w:r>
      <w:r>
        <w:rPr>
          <w:rFonts w:asciiTheme="minorBidi" w:hAnsiTheme="minorBidi"/>
          <w:sz w:val="24"/>
          <w:szCs w:val="24"/>
        </w:rPr>
        <w:t>an unusual finding – an ancient rock-hewn altar, referred to as “Manoah’s altar.” It is about five feet high, its surface about 8x10 feet, dimensions that are similar to those of the burnt-offering altar described in Exodus 27:1-2.</w:t>
      </w:r>
      <w:r>
        <w:rPr>
          <w:rStyle w:val="FootnoteReference"/>
          <w:rFonts w:asciiTheme="minorBidi" w:hAnsiTheme="minorBidi"/>
          <w:sz w:val="24"/>
          <w:szCs w:val="24"/>
        </w:rPr>
        <w:footnoteReference w:id="4"/>
      </w:r>
      <w:r w:rsidR="00512651">
        <w:rPr>
          <w:rFonts w:asciiTheme="minorBidi" w:hAnsiTheme="minorBidi"/>
          <w:sz w:val="24"/>
          <w:szCs w:val="24"/>
        </w:rPr>
        <w:t xml:space="preserve"> A </w:t>
      </w:r>
      <w:r w:rsidR="005B3B40">
        <w:rPr>
          <w:rFonts w:asciiTheme="minorBidi" w:hAnsiTheme="minorBidi"/>
          <w:sz w:val="24"/>
          <w:szCs w:val="24"/>
        </w:rPr>
        <w:t xml:space="preserve">positive note about this </w:t>
      </w:r>
      <w:r w:rsidR="00512651">
        <w:rPr>
          <w:rFonts w:asciiTheme="minorBidi" w:hAnsiTheme="minorBidi"/>
          <w:sz w:val="24"/>
          <w:szCs w:val="24"/>
        </w:rPr>
        <w:t>village, which was destroyed in 1948: While visiting the site, I saw a discarded concrete lintel with an Arabic inscription reading, “In the name of Allah the All-Merciful, the victory is to God and the liberation is near, year 1355 of the Hijra</w:t>
      </w:r>
      <w:r w:rsidR="005B3B40">
        <w:rPr>
          <w:rFonts w:asciiTheme="minorBidi" w:hAnsiTheme="minorBidi"/>
          <w:sz w:val="24"/>
          <w:szCs w:val="24"/>
        </w:rPr>
        <w:t xml:space="preserve">, 1936 of the birth [CE].” This lintel is a testimony of what is known as the Great Arab Revolt of 1936. </w:t>
      </w:r>
      <w:r w:rsidR="00CB79C8">
        <w:rPr>
          <w:rFonts w:asciiTheme="minorBidi" w:hAnsiTheme="minorBidi"/>
          <w:sz w:val="24"/>
          <w:szCs w:val="24"/>
        </w:rPr>
        <w:t>As a God-fearing Jew, I take this inscription at face value and thank God for our victory in the War of Independence at this site and at other sites, twelve years after this inscription was engraved.</w:t>
      </w:r>
      <w:r w:rsidR="007D7132">
        <w:rPr>
          <w:rStyle w:val="FootnoteReference"/>
          <w:rFonts w:asciiTheme="minorBidi" w:hAnsiTheme="minorBidi"/>
          <w:sz w:val="24"/>
          <w:szCs w:val="24"/>
        </w:rPr>
        <w:footnoteReference w:id="5"/>
      </w:r>
    </w:p>
    <w:p w:rsidR="00686646" w:rsidRDefault="00686646" w:rsidP="00F6685D">
      <w:pPr>
        <w:spacing w:after="0" w:line="240" w:lineRule="auto"/>
        <w:ind w:firstLine="720"/>
        <w:jc w:val="both"/>
        <w:outlineLvl w:val="0"/>
        <w:rPr>
          <w:rFonts w:asciiTheme="minorBidi" w:hAnsiTheme="minorBidi"/>
          <w:sz w:val="24"/>
          <w:szCs w:val="24"/>
          <w:rtl/>
        </w:rPr>
      </w:pPr>
    </w:p>
    <w:p w:rsidR="00686646" w:rsidRDefault="00686646" w:rsidP="00F6685D">
      <w:pPr>
        <w:spacing w:after="0" w:line="240" w:lineRule="auto"/>
        <w:ind w:firstLine="720"/>
        <w:jc w:val="both"/>
        <w:outlineLvl w:val="0"/>
        <w:rPr>
          <w:rFonts w:asciiTheme="minorBidi" w:hAnsiTheme="minorBidi"/>
          <w:sz w:val="24"/>
          <w:szCs w:val="24"/>
        </w:rPr>
      </w:pPr>
      <w:r>
        <w:rPr>
          <w:rFonts w:asciiTheme="minorBidi" w:hAnsiTheme="minorBidi"/>
          <w:noProof/>
          <w:sz w:val="24"/>
          <w:szCs w:val="24"/>
        </w:rPr>
        <w:lastRenderedPageBreak/>
        <w:drawing>
          <wp:inline distT="0" distB="0" distL="0" distR="0" wp14:anchorId="2AD56C36" wp14:editId="58A50E5C">
            <wp:extent cx="4681728" cy="6483096"/>
            <wp:effectExtent l="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5geo-map.jpg"/>
                    <pic:cNvPicPr/>
                  </pic:nvPicPr>
                  <pic:blipFill>
                    <a:blip r:embed="rId9">
                      <a:extLst>
                        <a:ext uri="{28A0092B-C50C-407E-A947-70E740481C1C}">
                          <a14:useLocalDpi xmlns:a14="http://schemas.microsoft.com/office/drawing/2010/main" val="0"/>
                        </a:ext>
                      </a:extLst>
                    </a:blip>
                    <a:stretch>
                      <a:fillRect/>
                    </a:stretch>
                  </pic:blipFill>
                  <pic:spPr>
                    <a:xfrm>
                      <a:off x="0" y="0"/>
                      <a:ext cx="4681728" cy="6483096"/>
                    </a:xfrm>
                    <a:prstGeom prst="rect">
                      <a:avLst/>
                    </a:prstGeom>
                  </pic:spPr>
                </pic:pic>
              </a:graphicData>
            </a:graphic>
          </wp:inline>
        </w:drawing>
      </w:r>
    </w:p>
    <w:p w:rsidR="00CB79C8" w:rsidRDefault="00CB79C8" w:rsidP="00F6685D">
      <w:pPr>
        <w:spacing w:after="0" w:line="240" w:lineRule="auto"/>
        <w:ind w:firstLine="720"/>
        <w:jc w:val="both"/>
        <w:outlineLvl w:val="0"/>
        <w:rPr>
          <w:rFonts w:asciiTheme="minorBidi" w:hAnsiTheme="minorBidi"/>
          <w:sz w:val="24"/>
          <w:szCs w:val="24"/>
        </w:rPr>
      </w:pPr>
    </w:p>
    <w:p w:rsidR="00CB79C8" w:rsidRDefault="00CB79C8" w:rsidP="00F6685D">
      <w:pPr>
        <w:spacing w:after="0" w:line="240" w:lineRule="auto"/>
        <w:jc w:val="both"/>
        <w:outlineLvl w:val="0"/>
        <w:rPr>
          <w:rFonts w:asciiTheme="minorBidi" w:hAnsiTheme="minorBidi"/>
          <w:sz w:val="24"/>
          <w:szCs w:val="24"/>
        </w:rPr>
      </w:pPr>
      <w:r>
        <w:rPr>
          <w:rFonts w:asciiTheme="minorBidi" w:hAnsiTheme="minorBidi"/>
          <w:b/>
          <w:bCs/>
          <w:sz w:val="24"/>
          <w:szCs w:val="24"/>
        </w:rPr>
        <w:t>Eshtaol</w:t>
      </w:r>
    </w:p>
    <w:p w:rsidR="00CB79C8" w:rsidRDefault="00CB79C8" w:rsidP="00F6685D">
      <w:pPr>
        <w:spacing w:after="0" w:line="240" w:lineRule="auto"/>
        <w:jc w:val="both"/>
        <w:outlineLvl w:val="0"/>
        <w:rPr>
          <w:rFonts w:asciiTheme="minorBidi" w:hAnsiTheme="minorBidi"/>
          <w:sz w:val="24"/>
          <w:szCs w:val="24"/>
        </w:rPr>
      </w:pPr>
    </w:p>
    <w:p w:rsidR="00CB79C8" w:rsidRDefault="00CB79C8" w:rsidP="00F6685D">
      <w:pPr>
        <w:spacing w:after="0" w:line="240" w:lineRule="auto"/>
        <w:jc w:val="both"/>
        <w:outlineLvl w:val="0"/>
        <w:rPr>
          <w:rStyle w:val="Emphasis"/>
          <w:rFonts w:ascii="Arial" w:hAnsi="Arial" w:cs="Arial"/>
          <w:i w:val="0"/>
          <w:iCs w:val="0"/>
          <w:sz w:val="24"/>
          <w:szCs w:val="24"/>
          <w:shd w:val="clear" w:color="auto" w:fill="FFFFFF"/>
        </w:rPr>
      </w:pPr>
      <w:r>
        <w:rPr>
          <w:rFonts w:asciiTheme="minorBidi" w:hAnsiTheme="minorBidi"/>
          <w:sz w:val="24"/>
          <w:szCs w:val="24"/>
        </w:rPr>
        <w:tab/>
        <w:t xml:space="preserve">The identification of Eshtaol is not known, but it is clear from the </w:t>
      </w:r>
      <w:r>
        <w:rPr>
          <w:rFonts w:asciiTheme="minorBidi" w:hAnsiTheme="minorBidi"/>
          <w:i/>
          <w:iCs/>
          <w:sz w:val="24"/>
          <w:szCs w:val="24"/>
        </w:rPr>
        <w:t>Tanakh</w:t>
      </w:r>
      <w:r>
        <w:rPr>
          <w:rFonts w:asciiTheme="minorBidi" w:hAnsiTheme="minorBidi"/>
          <w:sz w:val="24"/>
          <w:szCs w:val="24"/>
        </w:rPr>
        <w:t xml:space="preserve"> that its distance from Zorah cannot be more than a few miles. The modern-day moshav of Eshtaol is situated atop the ruins of the village of Ishwa’, about one mile east of the ruins of Zorah. Scholars drew a comparison between the names “Ishwa’” and “Eshtaol.” The French explorer Victor</w:t>
      </w:r>
      <w:r w:rsidRPr="00CB79C8">
        <w:rPr>
          <w:rFonts w:asciiTheme="minorBidi" w:hAnsiTheme="minorBidi"/>
          <w:sz w:val="24"/>
          <w:szCs w:val="24"/>
        </w:rPr>
        <w:t xml:space="preserve"> </w:t>
      </w:r>
      <w:r w:rsidRPr="00CB79C8">
        <w:rPr>
          <w:rStyle w:val="Emphasis"/>
          <w:rFonts w:ascii="Arial" w:hAnsi="Arial" w:cs="Arial"/>
          <w:i w:val="0"/>
          <w:iCs w:val="0"/>
          <w:sz w:val="24"/>
          <w:szCs w:val="24"/>
          <w:shd w:val="clear" w:color="auto" w:fill="FFFFFF"/>
        </w:rPr>
        <w:t>Guérin</w:t>
      </w:r>
      <w:r>
        <w:rPr>
          <w:rStyle w:val="Emphasis"/>
          <w:rFonts w:ascii="Arial" w:hAnsi="Arial" w:cs="Arial"/>
          <w:i w:val="0"/>
          <w:iCs w:val="0"/>
          <w:sz w:val="24"/>
          <w:szCs w:val="24"/>
          <w:shd w:val="clear" w:color="auto" w:fill="FFFFFF"/>
        </w:rPr>
        <w:t xml:space="preserve"> writes that on June 21, 1863, he heard from elderly Arabs </w:t>
      </w:r>
      <w:r w:rsidRPr="00CB79C8">
        <w:rPr>
          <w:rStyle w:val="Emphasis"/>
          <w:rFonts w:ascii="Arial" w:hAnsi="Arial" w:cs="Arial"/>
          <w:i w:val="0"/>
          <w:iCs w:val="0"/>
          <w:sz w:val="24"/>
          <w:szCs w:val="24"/>
          <w:shd w:val="clear" w:color="auto" w:fill="FFFFFF"/>
        </w:rPr>
        <w:t xml:space="preserve">in </w:t>
      </w:r>
      <w:r w:rsidR="007D7132">
        <w:rPr>
          <w:rStyle w:val="Emphasis"/>
          <w:rFonts w:ascii="Arial" w:hAnsi="Arial" w:cs="Arial"/>
          <w:i w:val="0"/>
          <w:iCs w:val="0"/>
          <w:sz w:val="24"/>
          <w:szCs w:val="24"/>
          <w:shd w:val="clear" w:color="auto" w:fill="FFFFFF"/>
        </w:rPr>
        <w:t>B</w:t>
      </w:r>
      <w:r w:rsidR="006A0089">
        <w:rPr>
          <w:rStyle w:val="Emphasis"/>
          <w:rFonts w:ascii="Arial Unicode MS" w:eastAsia="Arial Unicode MS" w:hAnsi="Arial Unicode MS" w:cs="Arial Unicode MS" w:hint="eastAsia"/>
          <w:i w:val="0"/>
          <w:iCs w:val="0"/>
          <w:sz w:val="24"/>
          <w:szCs w:val="24"/>
          <w:shd w:val="clear" w:color="auto" w:fill="FFFFFF"/>
        </w:rPr>
        <w:t>ē</w:t>
      </w:r>
      <w:r w:rsidR="007D7132">
        <w:rPr>
          <w:rStyle w:val="Emphasis"/>
          <w:rFonts w:ascii="Arial" w:hAnsi="Arial" w:cs="Arial"/>
          <w:i w:val="0"/>
          <w:iCs w:val="0"/>
          <w:sz w:val="24"/>
          <w:szCs w:val="24"/>
          <w:shd w:val="clear" w:color="auto" w:fill="FFFFFF"/>
        </w:rPr>
        <w:t>t ‘</w:t>
      </w:r>
      <w:r w:rsidRPr="00CB79C8">
        <w:rPr>
          <w:rStyle w:val="Emphasis"/>
          <w:rFonts w:ascii="Arial" w:hAnsi="Arial" w:cs="Arial"/>
          <w:i w:val="0"/>
          <w:iCs w:val="0"/>
          <w:sz w:val="24"/>
          <w:szCs w:val="24"/>
          <w:shd w:val="clear" w:color="auto" w:fill="FFFFFF"/>
        </w:rPr>
        <w:t>Iṭāb</w:t>
      </w:r>
      <w:r w:rsidR="007D7132">
        <w:rPr>
          <w:rStyle w:val="Emphasis"/>
          <w:rFonts w:ascii="Arial" w:hAnsi="Arial" w:cs="Arial"/>
          <w:i w:val="0"/>
          <w:iCs w:val="0"/>
          <w:sz w:val="24"/>
          <w:szCs w:val="24"/>
          <w:shd w:val="clear" w:color="auto" w:fill="FFFFFF"/>
        </w:rPr>
        <w:t xml:space="preserve"> that the village of “Ashua’” was previously known as “Ashua</w:t>
      </w:r>
      <w:r w:rsidR="003058D5">
        <w:rPr>
          <w:rStyle w:val="Emphasis"/>
          <w:rFonts w:ascii="Arial" w:hAnsi="Arial" w:cs="Arial"/>
          <w:i w:val="0"/>
          <w:iCs w:val="0"/>
          <w:sz w:val="24"/>
          <w:szCs w:val="24"/>
          <w:shd w:val="clear" w:color="auto" w:fill="FFFFFF"/>
        </w:rPr>
        <w:t>’</w:t>
      </w:r>
      <w:r w:rsidR="007D7132">
        <w:rPr>
          <w:rStyle w:val="Emphasis"/>
          <w:rFonts w:ascii="Arial" w:hAnsi="Arial" w:cs="Arial"/>
          <w:i w:val="0"/>
          <w:iCs w:val="0"/>
          <w:sz w:val="24"/>
          <w:szCs w:val="24"/>
          <w:shd w:val="clear" w:color="auto" w:fill="FFFFFF"/>
        </w:rPr>
        <w:t>l” or “Ashtua</w:t>
      </w:r>
      <w:r w:rsidR="003058D5">
        <w:rPr>
          <w:rStyle w:val="Emphasis"/>
          <w:rFonts w:ascii="Arial" w:hAnsi="Arial" w:cs="Arial"/>
          <w:i w:val="0"/>
          <w:iCs w:val="0"/>
          <w:sz w:val="24"/>
          <w:szCs w:val="24"/>
          <w:shd w:val="clear" w:color="auto" w:fill="FFFFFF"/>
        </w:rPr>
        <w:t>’</w:t>
      </w:r>
      <w:r w:rsidR="007D7132">
        <w:rPr>
          <w:rStyle w:val="Emphasis"/>
          <w:rFonts w:ascii="Arial" w:hAnsi="Arial" w:cs="Arial"/>
          <w:i w:val="0"/>
          <w:iCs w:val="0"/>
          <w:sz w:val="24"/>
          <w:szCs w:val="24"/>
          <w:shd w:val="clear" w:color="auto" w:fill="FFFFFF"/>
        </w:rPr>
        <w:t xml:space="preserve">l.” The elders also told him that the wali consecrated to Sheikh Gherib between Ishwa’ and </w:t>
      </w:r>
      <w:r w:rsidR="001335E6">
        <w:rPr>
          <w:rStyle w:val="Emphasis"/>
          <w:rFonts w:ascii="Arial Unicode MS" w:eastAsia="Arial Unicode MS" w:hAnsi="Arial Unicode MS" w:cs="Arial Unicode MS" w:hint="eastAsia"/>
          <w:i w:val="0"/>
          <w:iCs w:val="0"/>
          <w:sz w:val="24"/>
          <w:szCs w:val="24"/>
          <w:shd w:val="clear" w:color="auto" w:fill="FFFFFF"/>
        </w:rPr>
        <w:t>Ṣ</w:t>
      </w:r>
      <w:r w:rsidR="007D7132">
        <w:rPr>
          <w:rStyle w:val="Emphasis"/>
          <w:rFonts w:ascii="Arial" w:hAnsi="Arial" w:cs="Arial"/>
          <w:i w:val="0"/>
          <w:iCs w:val="0"/>
          <w:sz w:val="24"/>
          <w:szCs w:val="24"/>
          <w:shd w:val="clear" w:color="auto" w:fill="FFFFFF"/>
        </w:rPr>
        <w:t xml:space="preserve">ar’a (in recent years labeled “the Tomb of Dan, son of Jacob”) was </w:t>
      </w:r>
      <w:r w:rsidR="007D7132">
        <w:rPr>
          <w:rStyle w:val="Emphasis"/>
          <w:rFonts w:ascii="Arial" w:hAnsi="Arial" w:cs="Arial"/>
          <w:i w:val="0"/>
          <w:iCs w:val="0"/>
          <w:sz w:val="24"/>
          <w:szCs w:val="24"/>
          <w:shd w:val="clear" w:color="auto" w:fill="FFFFFF"/>
        </w:rPr>
        <w:lastRenderedPageBreak/>
        <w:t xml:space="preserve">previously known as “Kabr Shamshun” – the Tomb of Samson. In truth, the connection between Eshtaol and Ishwa’ is completely fictive. </w:t>
      </w:r>
      <w:r w:rsidR="00ED7D94">
        <w:rPr>
          <w:rStyle w:val="Emphasis"/>
          <w:rFonts w:ascii="Arial" w:hAnsi="Arial" w:cs="Arial"/>
          <w:i w:val="0"/>
          <w:iCs w:val="0"/>
          <w:sz w:val="24"/>
          <w:szCs w:val="24"/>
          <w:shd w:val="clear" w:color="auto" w:fill="FFFFFF"/>
        </w:rPr>
        <w:t xml:space="preserve">Regarding </w:t>
      </w:r>
      <w:r w:rsidR="00ED7D94" w:rsidRPr="00CB79C8">
        <w:rPr>
          <w:rStyle w:val="Emphasis"/>
          <w:rFonts w:ascii="Arial" w:hAnsi="Arial" w:cs="Arial"/>
          <w:i w:val="0"/>
          <w:iCs w:val="0"/>
          <w:sz w:val="24"/>
          <w:szCs w:val="24"/>
          <w:shd w:val="clear" w:color="auto" w:fill="FFFFFF"/>
        </w:rPr>
        <w:t>Guérin</w:t>
      </w:r>
      <w:r w:rsidR="00ED7D94">
        <w:rPr>
          <w:rStyle w:val="Emphasis"/>
          <w:rFonts w:ascii="Arial" w:hAnsi="Arial" w:cs="Arial"/>
          <w:i w:val="0"/>
          <w:iCs w:val="0"/>
          <w:sz w:val="24"/>
          <w:szCs w:val="24"/>
          <w:shd w:val="clear" w:color="auto" w:fill="FFFFFF"/>
        </w:rPr>
        <w:t>’s testimony, it is highly doubtful if this information can be trusted</w:t>
      </w:r>
      <w:r w:rsidR="003058D5">
        <w:rPr>
          <w:rStyle w:val="Emphasis"/>
          <w:rFonts w:ascii="Arial" w:hAnsi="Arial" w:cs="Arial"/>
          <w:i w:val="0"/>
          <w:iCs w:val="0"/>
          <w:sz w:val="24"/>
          <w:szCs w:val="24"/>
          <w:shd w:val="clear" w:color="auto" w:fill="FFFFFF"/>
        </w:rPr>
        <w:t>.</w:t>
      </w:r>
      <w:r w:rsidR="00ED7D94">
        <w:rPr>
          <w:rStyle w:val="Emphasis"/>
          <w:rFonts w:ascii="Arial" w:hAnsi="Arial" w:cs="Arial"/>
          <w:i w:val="0"/>
          <w:iCs w:val="0"/>
          <w:sz w:val="24"/>
          <w:szCs w:val="24"/>
          <w:shd w:val="clear" w:color="auto" w:fill="FFFFFF"/>
        </w:rPr>
        <w:t xml:space="preserve"> </w:t>
      </w:r>
      <w:r w:rsidR="003058D5">
        <w:rPr>
          <w:rStyle w:val="Emphasis"/>
          <w:rFonts w:ascii="Arial" w:hAnsi="Arial" w:cs="Arial"/>
          <w:i w:val="0"/>
          <w:iCs w:val="0"/>
          <w:sz w:val="24"/>
          <w:szCs w:val="24"/>
          <w:shd w:val="clear" w:color="auto" w:fill="FFFFFF"/>
        </w:rPr>
        <w:t xml:space="preserve">First, </w:t>
      </w:r>
      <w:r w:rsidR="00D8041A">
        <w:rPr>
          <w:rStyle w:val="Emphasis"/>
          <w:rFonts w:ascii="Arial" w:hAnsi="Arial" w:cs="Arial"/>
          <w:i w:val="0"/>
          <w:iCs w:val="0"/>
          <w:sz w:val="24"/>
          <w:szCs w:val="24"/>
          <w:shd w:val="clear" w:color="auto" w:fill="FFFFFF"/>
        </w:rPr>
        <w:t>no other sources attest to such names</w:t>
      </w:r>
      <w:r w:rsidR="003058D5">
        <w:rPr>
          <w:rStyle w:val="Emphasis"/>
          <w:rFonts w:ascii="Arial" w:hAnsi="Arial" w:cs="Arial"/>
          <w:i w:val="0"/>
          <w:iCs w:val="0"/>
          <w:sz w:val="24"/>
          <w:szCs w:val="24"/>
          <w:shd w:val="clear" w:color="auto" w:fill="FFFFFF"/>
        </w:rPr>
        <w:t>.</w:t>
      </w:r>
      <w:r w:rsidR="00D8041A">
        <w:rPr>
          <w:rStyle w:val="Emphasis"/>
          <w:rFonts w:ascii="Arial" w:hAnsi="Arial" w:cs="Arial"/>
          <w:i w:val="0"/>
          <w:iCs w:val="0"/>
          <w:sz w:val="24"/>
          <w:szCs w:val="24"/>
          <w:shd w:val="clear" w:color="auto" w:fill="FFFFFF"/>
        </w:rPr>
        <w:t xml:space="preserve"> </w:t>
      </w:r>
      <w:r w:rsidR="003058D5">
        <w:rPr>
          <w:rStyle w:val="Emphasis"/>
          <w:rFonts w:ascii="Arial" w:hAnsi="Arial" w:cs="Arial"/>
          <w:i w:val="0"/>
          <w:iCs w:val="0"/>
          <w:sz w:val="24"/>
          <w:szCs w:val="24"/>
          <w:shd w:val="clear" w:color="auto" w:fill="FFFFFF"/>
        </w:rPr>
        <w:t xml:space="preserve">Second, </w:t>
      </w:r>
      <w:r w:rsidR="00D8041A">
        <w:rPr>
          <w:rStyle w:val="Emphasis"/>
          <w:rFonts w:ascii="Arial" w:hAnsi="Arial" w:cs="Arial"/>
          <w:i w:val="0"/>
          <w:iCs w:val="0"/>
          <w:sz w:val="24"/>
          <w:szCs w:val="24"/>
          <w:shd w:val="clear" w:color="auto" w:fill="FFFFFF"/>
        </w:rPr>
        <w:t xml:space="preserve">the </w:t>
      </w:r>
      <w:r w:rsidR="003058D5">
        <w:rPr>
          <w:rStyle w:val="Emphasis"/>
          <w:rFonts w:ascii="Arial" w:hAnsi="Arial" w:cs="Arial"/>
          <w:i w:val="0"/>
          <w:iCs w:val="0"/>
          <w:sz w:val="24"/>
          <w:szCs w:val="24"/>
          <w:shd w:val="clear" w:color="auto" w:fill="FFFFFF"/>
        </w:rPr>
        <w:t>connection</w:t>
      </w:r>
      <w:r w:rsidR="00D8041A">
        <w:rPr>
          <w:rStyle w:val="Emphasis"/>
          <w:rFonts w:ascii="Arial" w:hAnsi="Arial" w:cs="Arial"/>
          <w:i w:val="0"/>
          <w:iCs w:val="0"/>
          <w:sz w:val="24"/>
          <w:szCs w:val="24"/>
          <w:shd w:val="clear" w:color="auto" w:fill="FFFFFF"/>
        </w:rPr>
        <w:t xml:space="preserve"> to the </w:t>
      </w:r>
      <w:r w:rsidR="003058D5">
        <w:rPr>
          <w:rStyle w:val="Emphasis"/>
          <w:rFonts w:ascii="Arial" w:hAnsi="Arial" w:cs="Arial"/>
          <w:i w:val="0"/>
          <w:iCs w:val="0"/>
          <w:sz w:val="24"/>
          <w:szCs w:val="24"/>
          <w:shd w:val="clear" w:color="auto" w:fill="FFFFFF"/>
        </w:rPr>
        <w:t>B</w:t>
      </w:r>
      <w:r w:rsidR="00D8041A">
        <w:rPr>
          <w:rStyle w:val="Emphasis"/>
          <w:rFonts w:ascii="Arial" w:hAnsi="Arial" w:cs="Arial"/>
          <w:i w:val="0"/>
          <w:iCs w:val="0"/>
          <w:sz w:val="24"/>
          <w:szCs w:val="24"/>
          <w:shd w:val="clear" w:color="auto" w:fill="FFFFFF"/>
        </w:rPr>
        <w:t xml:space="preserve">iblical names is </w:t>
      </w:r>
      <w:r w:rsidR="003058D5">
        <w:rPr>
          <w:rStyle w:val="Emphasis"/>
          <w:rFonts w:ascii="Arial" w:hAnsi="Arial" w:cs="Arial"/>
          <w:i w:val="0"/>
          <w:iCs w:val="0"/>
          <w:sz w:val="24"/>
          <w:szCs w:val="24"/>
          <w:shd w:val="clear" w:color="auto" w:fill="FFFFFF"/>
        </w:rPr>
        <w:t xml:space="preserve">so </w:t>
      </w:r>
      <w:r w:rsidR="00D8041A">
        <w:rPr>
          <w:rStyle w:val="Emphasis"/>
          <w:rFonts w:ascii="Arial" w:hAnsi="Arial" w:cs="Arial"/>
          <w:i w:val="0"/>
          <w:iCs w:val="0"/>
          <w:sz w:val="24"/>
          <w:szCs w:val="24"/>
          <w:shd w:val="clear" w:color="auto" w:fill="FFFFFF"/>
        </w:rPr>
        <w:t>fantastic</w:t>
      </w:r>
      <w:r w:rsidR="008C33A3">
        <w:rPr>
          <w:rStyle w:val="Emphasis"/>
          <w:rFonts w:ascii="Arial" w:hAnsi="Arial" w:cs="Arial"/>
          <w:i w:val="0"/>
          <w:iCs w:val="0"/>
          <w:sz w:val="24"/>
          <w:szCs w:val="24"/>
          <w:shd w:val="clear" w:color="auto" w:fill="FFFFFF"/>
        </w:rPr>
        <w:t xml:space="preserve"> that</w:t>
      </w:r>
      <w:r w:rsidR="00ED7D94">
        <w:rPr>
          <w:rStyle w:val="Emphasis"/>
          <w:rFonts w:ascii="Arial" w:hAnsi="Arial" w:cs="Arial"/>
          <w:i w:val="0"/>
          <w:iCs w:val="0"/>
          <w:sz w:val="24"/>
          <w:szCs w:val="24"/>
          <w:shd w:val="clear" w:color="auto" w:fill="FFFFFF"/>
        </w:rPr>
        <w:t xml:space="preserve"> one suspects that the source of the information was actually conversations between the Arab villagers and European travelers who passed through the area prior to </w:t>
      </w:r>
      <w:r w:rsidR="00ED7D94" w:rsidRPr="00CB79C8">
        <w:rPr>
          <w:rStyle w:val="Emphasis"/>
          <w:rFonts w:ascii="Arial" w:hAnsi="Arial" w:cs="Arial"/>
          <w:i w:val="0"/>
          <w:iCs w:val="0"/>
          <w:sz w:val="24"/>
          <w:szCs w:val="24"/>
          <w:shd w:val="clear" w:color="auto" w:fill="FFFFFF"/>
        </w:rPr>
        <w:t>Guérin</w:t>
      </w:r>
      <w:r w:rsidR="00ED7D94">
        <w:rPr>
          <w:rStyle w:val="Emphasis"/>
          <w:rFonts w:ascii="Arial" w:hAnsi="Arial" w:cs="Arial"/>
          <w:i w:val="0"/>
          <w:iCs w:val="0"/>
          <w:sz w:val="24"/>
          <w:szCs w:val="24"/>
          <w:shd w:val="clear" w:color="auto" w:fill="FFFFFF"/>
        </w:rPr>
        <w:t>.</w:t>
      </w:r>
    </w:p>
    <w:p w:rsidR="00E30975" w:rsidRDefault="00E30975" w:rsidP="00F6685D">
      <w:pPr>
        <w:spacing w:after="0" w:line="240" w:lineRule="auto"/>
        <w:jc w:val="both"/>
        <w:outlineLvl w:val="0"/>
        <w:rPr>
          <w:rStyle w:val="Emphasis"/>
          <w:rFonts w:ascii="Arial" w:hAnsi="Arial" w:cs="Arial"/>
          <w:i w:val="0"/>
          <w:iCs w:val="0"/>
          <w:sz w:val="24"/>
          <w:szCs w:val="24"/>
          <w:shd w:val="clear" w:color="auto" w:fill="FFFFFF"/>
        </w:rPr>
      </w:pPr>
    </w:p>
    <w:p w:rsidR="00E30975" w:rsidRDefault="00E30975" w:rsidP="00F6685D">
      <w:pPr>
        <w:keepNext/>
        <w:spacing w:after="0" w:line="240" w:lineRule="auto"/>
        <w:jc w:val="center"/>
        <w:outlineLvl w:val="0"/>
      </w:pPr>
      <w:r>
        <w:rPr>
          <w:rFonts w:ascii="Arial" w:hAnsi="Arial" w:cs="Arial"/>
          <w:noProof/>
          <w:sz w:val="24"/>
          <w:szCs w:val="24"/>
          <w:shd w:val="clear" w:color="auto" w:fill="FFFFFF"/>
        </w:rPr>
        <w:drawing>
          <wp:inline distT="0" distB="0" distL="0" distR="0" wp14:anchorId="4F24C8D8" wp14:editId="5139F61C">
            <wp:extent cx="4902807" cy="3677253"/>
            <wp:effectExtent l="19050" t="0" r="0" b="0"/>
            <wp:docPr id="5" name="Picture 4" descr="קבר שמשו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קבר שמשון.jpg"/>
                    <pic:cNvPicPr/>
                  </pic:nvPicPr>
                  <pic:blipFill>
                    <a:blip r:embed="rId10" cstate="print"/>
                    <a:stretch>
                      <a:fillRect/>
                    </a:stretch>
                  </pic:blipFill>
                  <pic:spPr>
                    <a:xfrm>
                      <a:off x="0" y="0"/>
                      <a:ext cx="4903115" cy="3677484"/>
                    </a:xfrm>
                    <a:prstGeom prst="rect">
                      <a:avLst/>
                    </a:prstGeom>
                  </pic:spPr>
                </pic:pic>
              </a:graphicData>
            </a:graphic>
          </wp:inline>
        </w:drawing>
      </w:r>
    </w:p>
    <w:p w:rsidR="00E30975" w:rsidRPr="00686646" w:rsidRDefault="00E30975" w:rsidP="00F6685D">
      <w:pPr>
        <w:pStyle w:val="Caption"/>
        <w:spacing w:after="0"/>
        <w:jc w:val="center"/>
        <w:rPr>
          <w:rStyle w:val="Emphasis"/>
          <w:rFonts w:ascii="Arial" w:hAnsi="Arial" w:cs="Arial"/>
          <w:i w:val="0"/>
          <w:iCs w:val="0"/>
          <w:sz w:val="20"/>
          <w:szCs w:val="20"/>
          <w:shd w:val="clear" w:color="auto" w:fill="FFFFFF"/>
        </w:rPr>
      </w:pPr>
      <w:r>
        <w:rPr>
          <w:rStyle w:val="Emphasis"/>
          <w:rFonts w:ascii="Arial" w:hAnsi="Arial" w:cs="Arial"/>
          <w:b w:val="0"/>
          <w:bCs w:val="0"/>
          <w:i w:val="0"/>
          <w:iCs w:val="0"/>
          <w:color w:val="auto"/>
          <w:sz w:val="20"/>
          <w:szCs w:val="20"/>
          <w:shd w:val="clear" w:color="auto" w:fill="FFFFFF"/>
        </w:rPr>
        <w:t>The “Tomb of Samson,” formerly “Sheikh es-Samet</w:t>
      </w:r>
      <w:r w:rsidR="005F7E9F">
        <w:rPr>
          <w:rStyle w:val="Emphasis"/>
          <w:rFonts w:ascii="Arial" w:hAnsi="Arial" w:cs="Arial"/>
          <w:b w:val="0"/>
          <w:bCs w:val="0"/>
          <w:i w:val="0"/>
          <w:iCs w:val="0"/>
          <w:color w:val="auto"/>
          <w:sz w:val="20"/>
          <w:szCs w:val="20"/>
          <w:shd w:val="clear" w:color="auto" w:fill="FFFFFF"/>
        </w:rPr>
        <w:t>”</w:t>
      </w:r>
      <w:r>
        <w:rPr>
          <w:rStyle w:val="Emphasis"/>
          <w:rFonts w:ascii="Arial" w:hAnsi="Arial" w:cs="Arial"/>
          <w:b w:val="0"/>
          <w:bCs w:val="0"/>
          <w:i w:val="0"/>
          <w:iCs w:val="0"/>
          <w:color w:val="auto"/>
          <w:sz w:val="20"/>
          <w:szCs w:val="20"/>
          <w:shd w:val="clear" w:color="auto" w:fill="FFFFFF"/>
        </w:rPr>
        <w:t xml:space="preserve"> on the peak of ancient Zorah (Courtesy of Dr. Zev Rothkoff)</w:t>
      </w:r>
    </w:p>
    <w:p w:rsidR="00ED7D94" w:rsidRDefault="00ED7D94" w:rsidP="00F6685D">
      <w:pPr>
        <w:spacing w:after="0" w:line="240" w:lineRule="auto"/>
        <w:jc w:val="both"/>
        <w:outlineLvl w:val="0"/>
        <w:rPr>
          <w:rStyle w:val="Emphasis"/>
          <w:rFonts w:ascii="Arial" w:hAnsi="Arial" w:cs="Arial"/>
          <w:i w:val="0"/>
          <w:iCs w:val="0"/>
          <w:sz w:val="24"/>
          <w:szCs w:val="24"/>
          <w:shd w:val="clear" w:color="auto" w:fill="FFFFFF"/>
        </w:rPr>
      </w:pPr>
    </w:p>
    <w:p w:rsidR="00ED7D94" w:rsidRDefault="00ED7D94" w:rsidP="00F6685D">
      <w:pPr>
        <w:spacing w:after="0" w:line="240" w:lineRule="auto"/>
        <w:jc w:val="both"/>
        <w:outlineLvl w:val="0"/>
        <w:rPr>
          <w:rStyle w:val="Emphasis"/>
          <w:rFonts w:ascii="Arial" w:hAnsi="Arial" w:cs="Arial"/>
          <w:i w:val="0"/>
          <w:iCs w:val="0"/>
          <w:sz w:val="24"/>
          <w:szCs w:val="24"/>
          <w:shd w:val="clear" w:color="auto" w:fill="FFFFFF"/>
        </w:rPr>
      </w:pPr>
      <w:r>
        <w:rPr>
          <w:rStyle w:val="Emphasis"/>
          <w:rFonts w:ascii="Arial" w:hAnsi="Arial" w:cs="Arial"/>
          <w:i w:val="0"/>
          <w:iCs w:val="0"/>
          <w:sz w:val="24"/>
          <w:szCs w:val="24"/>
          <w:shd w:val="clear" w:color="auto" w:fill="FFFFFF"/>
        </w:rPr>
        <w:tab/>
        <w:t xml:space="preserve">Eusebius, in his </w:t>
      </w:r>
      <w:r>
        <w:rPr>
          <w:rStyle w:val="Emphasis"/>
          <w:rFonts w:ascii="Arial" w:hAnsi="Arial" w:cs="Arial"/>
          <w:sz w:val="24"/>
          <w:szCs w:val="24"/>
          <w:shd w:val="clear" w:color="auto" w:fill="FFFFFF"/>
        </w:rPr>
        <w:t>Onomasticon</w:t>
      </w:r>
      <w:r>
        <w:rPr>
          <w:rStyle w:val="Emphasis"/>
          <w:rFonts w:ascii="Arial" w:hAnsi="Arial" w:cs="Arial"/>
          <w:i w:val="0"/>
          <w:iCs w:val="0"/>
          <w:sz w:val="24"/>
          <w:szCs w:val="24"/>
          <w:shd w:val="clear" w:color="auto" w:fill="FFFFFF"/>
        </w:rPr>
        <w:t xml:space="preserve"> (approx. 320 CE) recognized Zorah and Eshtaol as existing villages during his time. He described the two villages, along with Beth-shemesh, with the following words: “Ten miles </w:t>
      </w:r>
      <w:r w:rsidR="00E060DC">
        <w:rPr>
          <w:rStyle w:val="Emphasis"/>
          <w:rFonts w:ascii="Arial" w:hAnsi="Arial" w:cs="Arial"/>
          <w:i w:val="0"/>
          <w:iCs w:val="0"/>
          <w:sz w:val="24"/>
          <w:szCs w:val="24"/>
          <w:shd w:val="clear" w:color="auto" w:fill="FFFFFF"/>
        </w:rPr>
        <w:t xml:space="preserve">from </w:t>
      </w:r>
      <w:r>
        <w:rPr>
          <w:rStyle w:val="Emphasis"/>
          <w:rFonts w:ascii="Arial" w:hAnsi="Arial" w:cs="Arial"/>
          <w:i w:val="0"/>
          <w:iCs w:val="0"/>
          <w:sz w:val="24"/>
          <w:szCs w:val="24"/>
          <w:shd w:val="clear" w:color="auto" w:fill="FFFFFF"/>
        </w:rPr>
        <w:t>Eleutheropolis [Beit Guvrin] on the road to Nicopolis [Emmaus].”</w:t>
      </w:r>
      <w:r w:rsidR="00E060DC">
        <w:rPr>
          <w:rStyle w:val="Emphasis"/>
          <w:rFonts w:ascii="Arial" w:hAnsi="Arial" w:cs="Arial"/>
          <w:i w:val="0"/>
          <w:iCs w:val="0"/>
          <w:sz w:val="24"/>
          <w:szCs w:val="24"/>
          <w:shd w:val="clear" w:color="auto" w:fill="FFFFFF"/>
        </w:rPr>
        <w:t xml:space="preserve"> This description, used for all three locations, demonstrates that there was apparently a crossroads with a path leading to each of the three settlements. In any case, the distance is too short; it is actually about twelve miles. </w:t>
      </w:r>
      <w:r w:rsidR="00283AF9">
        <w:rPr>
          <w:rStyle w:val="Emphasis"/>
          <w:rFonts w:ascii="Arial" w:hAnsi="Arial" w:cs="Arial"/>
          <w:i w:val="0"/>
          <w:iCs w:val="0"/>
          <w:sz w:val="24"/>
          <w:szCs w:val="24"/>
          <w:shd w:val="clear" w:color="auto" w:fill="FFFFFF"/>
        </w:rPr>
        <w:t xml:space="preserve">For Jarmuth, Eusebius dedicated two entries. In one of them (“Iermus”), the description is very similar to that of Zorah, Eshtaol and Beth-shemesh: “There is now a village </w:t>
      </w:r>
      <w:r w:rsidR="00283AF9" w:rsidRPr="00283AF9">
        <w:rPr>
          <w:rFonts w:asciiTheme="minorBidi" w:hAnsiTheme="minorBidi"/>
          <w:sz w:val="24"/>
          <w:szCs w:val="24"/>
        </w:rPr>
        <w:t>Hiermokhōs</w:t>
      </w:r>
      <w:r w:rsidR="00283AF9">
        <w:rPr>
          <w:rStyle w:val="FootnoteReference"/>
          <w:rFonts w:asciiTheme="minorBidi" w:hAnsiTheme="minorBidi"/>
          <w:sz w:val="24"/>
          <w:szCs w:val="24"/>
        </w:rPr>
        <w:footnoteReference w:id="6"/>
      </w:r>
      <w:r w:rsidR="00283AF9">
        <w:rPr>
          <w:rStyle w:val="Emphasis"/>
          <w:rFonts w:ascii="Arial" w:hAnsi="Arial" w:cs="Arial"/>
          <w:i w:val="0"/>
          <w:iCs w:val="0"/>
          <w:sz w:val="24"/>
          <w:szCs w:val="24"/>
          <w:shd w:val="clear" w:color="auto" w:fill="FFFFFF"/>
        </w:rPr>
        <w:t xml:space="preserve"> ten miles from Eleutheropolis on the way to Jerusalem.” Eusebius is undoubtedly referring to Tel Yarmuth, known until the modern era as “Khirbet al-Yarmouk,” today located near Ramat Beit Shemesh.</w:t>
      </w:r>
      <w:r w:rsidR="00283AF9">
        <w:rPr>
          <w:rStyle w:val="FootnoteReference"/>
          <w:rFonts w:ascii="Arial" w:hAnsi="Arial" w:cs="Arial"/>
          <w:sz w:val="24"/>
          <w:szCs w:val="24"/>
          <w:shd w:val="clear" w:color="auto" w:fill="FFFFFF"/>
        </w:rPr>
        <w:footnoteReference w:id="7"/>
      </w:r>
      <w:r w:rsidR="008D3D90">
        <w:rPr>
          <w:rStyle w:val="Emphasis"/>
          <w:rFonts w:ascii="Arial" w:hAnsi="Arial" w:cs="Arial"/>
          <w:i w:val="0"/>
          <w:iCs w:val="0"/>
          <w:sz w:val="24"/>
          <w:szCs w:val="24"/>
          <w:shd w:val="clear" w:color="auto" w:fill="FFFFFF"/>
        </w:rPr>
        <w:t xml:space="preserve"> The distance between Beit Guvrin and Tel Yarmuth is indeed ten Roman miles. In the second entry dedicated to Jarmuth, the text</w:t>
      </w:r>
      <w:r w:rsidR="008F30C2">
        <w:rPr>
          <w:rStyle w:val="Emphasis"/>
          <w:rFonts w:ascii="Arial" w:hAnsi="Arial" w:cs="Arial"/>
          <w:i w:val="0"/>
          <w:iCs w:val="0"/>
          <w:sz w:val="24"/>
          <w:szCs w:val="24"/>
          <w:shd w:val="clear" w:color="auto" w:fill="FFFFFF"/>
        </w:rPr>
        <w:t xml:space="preserve"> of the Greek </w:t>
      </w:r>
      <w:r w:rsidR="008F30C2">
        <w:rPr>
          <w:rStyle w:val="Emphasis"/>
          <w:rFonts w:ascii="Arial" w:hAnsi="Arial" w:cs="Arial"/>
          <w:i w:val="0"/>
          <w:iCs w:val="0"/>
          <w:sz w:val="24"/>
          <w:szCs w:val="24"/>
          <w:shd w:val="clear" w:color="auto" w:fill="FFFFFF"/>
        </w:rPr>
        <w:lastRenderedPageBreak/>
        <w:t>manuscript is defective</w:t>
      </w:r>
      <w:r w:rsidR="008D3D90">
        <w:rPr>
          <w:rStyle w:val="Emphasis"/>
          <w:rFonts w:ascii="Arial" w:hAnsi="Arial" w:cs="Arial"/>
          <w:i w:val="0"/>
          <w:iCs w:val="0"/>
          <w:sz w:val="24"/>
          <w:szCs w:val="24"/>
          <w:shd w:val="clear" w:color="auto" w:fill="FFFFFF"/>
        </w:rPr>
        <w:t xml:space="preserve">, </w:t>
      </w:r>
      <w:r w:rsidR="005D06A2">
        <w:rPr>
          <w:rStyle w:val="Emphasis"/>
          <w:rFonts w:ascii="Arial" w:hAnsi="Arial" w:cs="Arial"/>
          <w:i w:val="0"/>
          <w:iCs w:val="0"/>
          <w:sz w:val="24"/>
          <w:szCs w:val="24"/>
          <w:shd w:val="clear" w:color="auto" w:fill="FFFFFF"/>
        </w:rPr>
        <w:t xml:space="preserve">but fortunately this entry was cited by Procopius of </w:t>
      </w:r>
      <w:r w:rsidR="0022164F">
        <w:rPr>
          <w:rStyle w:val="Emphasis"/>
          <w:rFonts w:ascii="Arial" w:hAnsi="Arial" w:cs="Arial"/>
          <w:i w:val="0"/>
          <w:iCs w:val="0"/>
          <w:sz w:val="24"/>
          <w:szCs w:val="24"/>
          <w:shd w:val="clear" w:color="auto" w:fill="FFFFFF"/>
        </w:rPr>
        <w:t xml:space="preserve">Gaza </w:t>
      </w:r>
      <w:r w:rsidR="005D06A2">
        <w:rPr>
          <w:rStyle w:val="Emphasis"/>
          <w:rFonts w:ascii="Arial" w:hAnsi="Arial" w:cs="Arial"/>
          <w:i w:val="0"/>
          <w:iCs w:val="0"/>
          <w:sz w:val="24"/>
          <w:szCs w:val="24"/>
          <w:shd w:val="clear" w:color="auto" w:fill="FFFFFF"/>
        </w:rPr>
        <w:t xml:space="preserve">about one hundred years after the </w:t>
      </w:r>
      <w:r w:rsidR="005D06A2">
        <w:rPr>
          <w:rStyle w:val="Emphasis"/>
          <w:rFonts w:ascii="Arial" w:hAnsi="Arial" w:cs="Arial"/>
          <w:sz w:val="24"/>
          <w:szCs w:val="24"/>
          <w:shd w:val="clear" w:color="auto" w:fill="FFFFFF"/>
        </w:rPr>
        <w:t xml:space="preserve">Onomasticon </w:t>
      </w:r>
      <w:r w:rsidR="005D06A2">
        <w:rPr>
          <w:rStyle w:val="Emphasis"/>
          <w:rFonts w:ascii="Arial" w:hAnsi="Arial" w:cs="Arial"/>
          <w:i w:val="0"/>
          <w:iCs w:val="0"/>
          <w:sz w:val="24"/>
          <w:szCs w:val="24"/>
          <w:shd w:val="clear" w:color="auto" w:fill="FFFFFF"/>
        </w:rPr>
        <w:t xml:space="preserve">was written. In this entry, Eusebius writes that “Ierimuth” is situated fourteen miles from Eleutheropolis, near Eshtaol, a village [in the region of] Adullam. Scholars speculated that Eusebius was not referring here to </w:t>
      </w:r>
      <w:r w:rsidR="00D943C6">
        <w:rPr>
          <w:rStyle w:val="Emphasis"/>
          <w:rFonts w:ascii="Arial" w:hAnsi="Arial" w:cs="Arial"/>
          <w:i w:val="0"/>
          <w:iCs w:val="0"/>
          <w:sz w:val="24"/>
          <w:szCs w:val="24"/>
          <w:shd w:val="clear" w:color="auto" w:fill="FFFFFF"/>
        </w:rPr>
        <w:t>Tel Yarmuth but to a location farther north, perhaps Khirbet Marmita about half a mile east of Naham. In any case, the distance of fourteen miles fits with the Naham area, the Shimshon Junction and the moshav of Eshtaol.</w:t>
      </w:r>
    </w:p>
    <w:p w:rsidR="00692996" w:rsidRDefault="00692996" w:rsidP="00F6685D">
      <w:pPr>
        <w:spacing w:after="0" w:line="240" w:lineRule="auto"/>
        <w:jc w:val="both"/>
        <w:outlineLvl w:val="0"/>
        <w:rPr>
          <w:rStyle w:val="Emphasis"/>
          <w:rFonts w:ascii="Arial" w:hAnsi="Arial" w:cs="Arial"/>
          <w:i w:val="0"/>
          <w:iCs w:val="0"/>
          <w:sz w:val="24"/>
          <w:szCs w:val="24"/>
          <w:shd w:val="clear" w:color="auto" w:fill="FFFFFF"/>
        </w:rPr>
      </w:pPr>
    </w:p>
    <w:p w:rsidR="00692996" w:rsidRDefault="00692996" w:rsidP="00F6685D">
      <w:pPr>
        <w:keepNext/>
        <w:spacing w:after="0" w:line="240" w:lineRule="auto"/>
        <w:jc w:val="center"/>
        <w:outlineLvl w:val="0"/>
      </w:pPr>
      <w:r>
        <w:rPr>
          <w:rFonts w:ascii="Arial" w:hAnsi="Arial" w:cs="Arial"/>
          <w:noProof/>
          <w:sz w:val="24"/>
          <w:szCs w:val="24"/>
          <w:shd w:val="clear" w:color="auto" w:fill="FFFFFF"/>
        </w:rPr>
        <w:drawing>
          <wp:inline distT="0" distB="0" distL="0" distR="0" wp14:anchorId="37A382BD" wp14:editId="16DB5C16">
            <wp:extent cx="4610419" cy="3446856"/>
            <wp:effectExtent l="19050" t="0" r="0" b="0"/>
            <wp:docPr id="1" name="Picture 0" descr="Beit Shemes 9.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it Shemes 9.6.06.jpg"/>
                    <pic:cNvPicPr/>
                  </pic:nvPicPr>
                  <pic:blipFill>
                    <a:blip r:embed="rId11" cstate="print"/>
                    <a:stretch>
                      <a:fillRect/>
                    </a:stretch>
                  </pic:blipFill>
                  <pic:spPr>
                    <a:xfrm>
                      <a:off x="0" y="0"/>
                      <a:ext cx="4611323" cy="3447532"/>
                    </a:xfrm>
                    <a:prstGeom prst="rect">
                      <a:avLst/>
                    </a:prstGeom>
                  </pic:spPr>
                </pic:pic>
              </a:graphicData>
            </a:graphic>
          </wp:inline>
        </w:drawing>
      </w:r>
    </w:p>
    <w:p w:rsidR="00692996" w:rsidRPr="00686646" w:rsidRDefault="00692996" w:rsidP="00F6685D">
      <w:pPr>
        <w:pStyle w:val="Caption"/>
        <w:spacing w:after="0"/>
        <w:jc w:val="center"/>
        <w:rPr>
          <w:rStyle w:val="Emphasis"/>
          <w:rFonts w:ascii="Arial" w:hAnsi="Arial" w:cs="Arial"/>
          <w:i w:val="0"/>
          <w:iCs w:val="0"/>
          <w:sz w:val="20"/>
          <w:szCs w:val="20"/>
          <w:shd w:val="clear" w:color="auto" w:fill="FFFFFF"/>
        </w:rPr>
      </w:pPr>
      <w:r>
        <w:rPr>
          <w:rStyle w:val="Emphasis"/>
          <w:rFonts w:ascii="Arial" w:hAnsi="Arial" w:cs="Arial"/>
          <w:b w:val="0"/>
          <w:bCs w:val="0"/>
          <w:i w:val="0"/>
          <w:iCs w:val="0"/>
          <w:color w:val="auto"/>
          <w:sz w:val="20"/>
          <w:szCs w:val="20"/>
          <w:shd w:val="clear" w:color="auto" w:fill="FFFFFF"/>
        </w:rPr>
        <w:t>Modern-day Beit Shemesh, viewed from the northwest (Courtesy of Dr. Zev Rothkoff, 2006)</w:t>
      </w:r>
    </w:p>
    <w:p w:rsidR="00D943C6" w:rsidRDefault="00D943C6" w:rsidP="00F6685D">
      <w:pPr>
        <w:spacing w:after="0" w:line="240" w:lineRule="auto"/>
        <w:jc w:val="both"/>
        <w:outlineLvl w:val="0"/>
        <w:rPr>
          <w:rStyle w:val="Emphasis"/>
          <w:rFonts w:ascii="Arial" w:hAnsi="Arial" w:cs="Arial"/>
          <w:i w:val="0"/>
          <w:iCs w:val="0"/>
          <w:sz w:val="24"/>
          <w:szCs w:val="24"/>
          <w:shd w:val="clear" w:color="auto" w:fill="FFFFFF"/>
        </w:rPr>
      </w:pPr>
    </w:p>
    <w:p w:rsidR="00D943C6" w:rsidRDefault="00D943C6" w:rsidP="00F6685D">
      <w:pPr>
        <w:spacing w:after="0" w:line="240" w:lineRule="auto"/>
        <w:jc w:val="both"/>
        <w:outlineLvl w:val="0"/>
        <w:rPr>
          <w:rFonts w:ascii="Arial" w:hAnsi="Arial" w:cs="Arial"/>
          <w:color w:val="000000"/>
          <w:sz w:val="24"/>
          <w:szCs w:val="24"/>
          <w:shd w:val="clear" w:color="auto" w:fill="F9F9F9"/>
        </w:rPr>
      </w:pPr>
      <w:r>
        <w:rPr>
          <w:rStyle w:val="Emphasis"/>
          <w:rFonts w:ascii="Arial" w:hAnsi="Arial" w:cs="Arial"/>
          <w:i w:val="0"/>
          <w:iCs w:val="0"/>
          <w:sz w:val="24"/>
          <w:szCs w:val="24"/>
          <w:shd w:val="clear" w:color="auto" w:fill="FFFFFF"/>
        </w:rPr>
        <w:tab/>
        <w:t xml:space="preserve">R. Ishtori Haparchi wrote in 1322: “South of Lod about three hours east is Zorah and Eshtaol; their names have not been altered.” R. Joseph Schwarz wrote in 1845: “The village of </w:t>
      </w:r>
      <w:r w:rsidR="0022164F">
        <w:rPr>
          <w:rStyle w:val="Emphasis"/>
          <w:rFonts w:ascii="Arial Unicode MS" w:eastAsia="Arial Unicode MS" w:hAnsi="Arial Unicode MS" w:cs="Arial Unicode MS" w:hint="eastAsia"/>
          <w:i w:val="0"/>
          <w:iCs w:val="0"/>
          <w:sz w:val="24"/>
          <w:szCs w:val="24"/>
          <w:shd w:val="clear" w:color="auto" w:fill="FFFFFF"/>
        </w:rPr>
        <w:t>Ṣ</w:t>
      </w:r>
      <w:r>
        <w:rPr>
          <w:rStyle w:val="Emphasis"/>
          <w:rFonts w:ascii="Arial" w:hAnsi="Arial" w:cs="Arial"/>
          <w:i w:val="0"/>
          <w:iCs w:val="0"/>
          <w:sz w:val="24"/>
          <w:szCs w:val="24"/>
          <w:shd w:val="clear" w:color="auto" w:fill="FFFFFF"/>
        </w:rPr>
        <w:t xml:space="preserve">ara is Zorah. West of </w:t>
      </w:r>
      <w:r w:rsidR="0022164F">
        <w:rPr>
          <w:rStyle w:val="Emphasis"/>
          <w:rFonts w:ascii="Arial Unicode MS" w:eastAsia="Arial Unicode MS" w:hAnsi="Arial Unicode MS" w:cs="Arial Unicode MS" w:hint="eastAsia"/>
          <w:i w:val="0"/>
          <w:iCs w:val="0"/>
          <w:sz w:val="24"/>
          <w:szCs w:val="24"/>
          <w:shd w:val="clear" w:color="auto" w:fill="FFFFFF"/>
        </w:rPr>
        <w:t>Ṣ</w:t>
      </w:r>
      <w:r>
        <w:rPr>
          <w:rStyle w:val="Emphasis"/>
          <w:rFonts w:ascii="Arial" w:hAnsi="Arial" w:cs="Arial"/>
          <w:i w:val="0"/>
          <w:iCs w:val="0"/>
          <w:sz w:val="24"/>
          <w:szCs w:val="24"/>
          <w:shd w:val="clear" w:color="auto" w:fill="FFFFFF"/>
        </w:rPr>
        <w:t xml:space="preserve">ara about one hour, slightly to the south is the village of Shtual, which is Eshtaol.” R. Schwarz, a German-born </w:t>
      </w:r>
      <w:r w:rsidR="0022164F">
        <w:rPr>
          <w:rStyle w:val="Emphasis"/>
          <w:rFonts w:ascii="Arial" w:hAnsi="Arial" w:cs="Arial"/>
          <w:i w:val="0"/>
          <w:iCs w:val="0"/>
          <w:sz w:val="24"/>
          <w:szCs w:val="24"/>
          <w:shd w:val="clear" w:color="auto" w:fill="FFFFFF"/>
        </w:rPr>
        <w:t>Jew</w:t>
      </w:r>
      <w:r>
        <w:rPr>
          <w:rStyle w:val="Emphasis"/>
          <w:rFonts w:ascii="Arial" w:hAnsi="Arial" w:cs="Arial"/>
          <w:i w:val="0"/>
          <w:iCs w:val="0"/>
          <w:sz w:val="24"/>
          <w:szCs w:val="24"/>
          <w:shd w:val="clear" w:color="auto" w:fill="FFFFFF"/>
        </w:rPr>
        <w:t xml:space="preserve">, was not sensitive to the guttural </w:t>
      </w:r>
      <w:r w:rsidR="0022164F">
        <w:rPr>
          <w:rStyle w:val="Emphasis"/>
          <w:rFonts w:ascii="Arial" w:hAnsi="Arial" w:cs="Arial"/>
          <w:i w:val="0"/>
          <w:iCs w:val="0"/>
          <w:sz w:val="24"/>
          <w:szCs w:val="24"/>
          <w:shd w:val="clear" w:color="auto" w:fill="FFFFFF"/>
        </w:rPr>
        <w:t xml:space="preserve">sound </w:t>
      </w:r>
      <w:r w:rsidR="003058D5">
        <w:rPr>
          <w:rStyle w:val="Emphasis"/>
          <w:rFonts w:ascii="Arial" w:hAnsi="Arial" w:cs="Arial"/>
          <w:i w:val="0"/>
          <w:iCs w:val="0"/>
          <w:sz w:val="24"/>
          <w:szCs w:val="24"/>
          <w:shd w:val="clear" w:color="auto" w:fill="FFFFFF"/>
        </w:rPr>
        <w:t xml:space="preserve">of the letter </w:t>
      </w:r>
      <w:r w:rsidR="007B5FF2">
        <w:rPr>
          <w:rStyle w:val="Emphasis"/>
          <w:rFonts w:ascii="Arial" w:hAnsi="Arial" w:cs="Arial"/>
          <w:sz w:val="24"/>
          <w:szCs w:val="24"/>
          <w:shd w:val="clear" w:color="auto" w:fill="FFFFFF"/>
        </w:rPr>
        <w:t>‘ay</w:t>
      </w:r>
      <w:r>
        <w:rPr>
          <w:rStyle w:val="Emphasis"/>
          <w:rFonts w:ascii="Arial" w:hAnsi="Arial" w:cs="Arial"/>
          <w:sz w:val="24"/>
          <w:szCs w:val="24"/>
          <w:shd w:val="clear" w:color="auto" w:fill="FFFFFF"/>
        </w:rPr>
        <w:t>n</w:t>
      </w:r>
      <w:r w:rsidR="007B5FF2">
        <w:rPr>
          <w:rFonts w:ascii="Arial" w:hAnsi="Arial" w:cs="Arial"/>
          <w:color w:val="000000"/>
          <w:sz w:val="24"/>
          <w:szCs w:val="24"/>
          <w:shd w:val="clear" w:color="auto" w:fill="F9F9F9"/>
        </w:rPr>
        <w:t>, so he spelled “</w:t>
      </w:r>
      <w:r w:rsidR="0022164F">
        <w:rPr>
          <w:rFonts w:ascii="Arial Unicode MS" w:eastAsia="Arial Unicode MS" w:hAnsi="Arial Unicode MS" w:cs="Arial Unicode MS" w:hint="eastAsia"/>
          <w:color w:val="000000"/>
          <w:sz w:val="24"/>
          <w:szCs w:val="24"/>
          <w:shd w:val="clear" w:color="auto" w:fill="F9F9F9"/>
        </w:rPr>
        <w:t>Ṣ</w:t>
      </w:r>
      <w:r w:rsidR="007B5FF2">
        <w:rPr>
          <w:rFonts w:ascii="Arial" w:hAnsi="Arial" w:cs="Arial"/>
          <w:color w:val="000000"/>
          <w:sz w:val="24"/>
          <w:szCs w:val="24"/>
          <w:shd w:val="clear" w:color="auto" w:fill="F9F9F9"/>
        </w:rPr>
        <w:t xml:space="preserve">ara” with a Hebrew </w:t>
      </w:r>
      <w:r w:rsidR="007B5FF2">
        <w:rPr>
          <w:rFonts w:ascii="Arial" w:hAnsi="Arial" w:cs="Arial"/>
          <w:i/>
          <w:iCs/>
          <w:color w:val="000000"/>
          <w:sz w:val="24"/>
          <w:szCs w:val="24"/>
          <w:shd w:val="clear" w:color="auto" w:fill="F9F9F9"/>
        </w:rPr>
        <w:t>alef</w:t>
      </w:r>
      <w:r w:rsidR="007B5FF2">
        <w:rPr>
          <w:rFonts w:ascii="Arial" w:hAnsi="Arial" w:cs="Arial"/>
          <w:color w:val="000000"/>
          <w:sz w:val="24"/>
          <w:szCs w:val="24"/>
          <w:shd w:val="clear" w:color="auto" w:fill="F9F9F9"/>
        </w:rPr>
        <w:t xml:space="preserve"> rather than an </w:t>
      </w:r>
      <w:r w:rsidR="003058D5">
        <w:rPr>
          <w:rFonts w:ascii="Arial" w:hAnsi="Arial" w:cs="Arial"/>
          <w:i/>
          <w:iCs/>
          <w:color w:val="000000"/>
          <w:sz w:val="24"/>
          <w:szCs w:val="24"/>
          <w:shd w:val="clear" w:color="auto" w:fill="F9F9F9"/>
        </w:rPr>
        <w:t>‘</w:t>
      </w:r>
      <w:r w:rsidR="007B5FF2">
        <w:rPr>
          <w:rFonts w:ascii="Arial" w:hAnsi="Arial" w:cs="Arial"/>
          <w:i/>
          <w:iCs/>
          <w:color w:val="000000"/>
          <w:sz w:val="24"/>
          <w:szCs w:val="24"/>
          <w:shd w:val="clear" w:color="auto" w:fill="F9F9F9"/>
        </w:rPr>
        <w:t>ayin</w:t>
      </w:r>
      <w:r w:rsidR="007B5FF2">
        <w:rPr>
          <w:rFonts w:ascii="Arial" w:hAnsi="Arial" w:cs="Arial"/>
          <w:color w:val="000000"/>
          <w:sz w:val="24"/>
          <w:szCs w:val="24"/>
          <w:shd w:val="clear" w:color="auto" w:fill="F9F9F9"/>
        </w:rPr>
        <w:t xml:space="preserve">. But it is clear that he is referring to the village of </w:t>
      </w:r>
      <w:r w:rsidR="008F30C2">
        <w:rPr>
          <w:rFonts w:ascii="Arial Unicode MS" w:eastAsia="Arial Unicode MS" w:hAnsi="Arial Unicode MS" w:cs="Arial Unicode MS" w:hint="eastAsia"/>
          <w:color w:val="000000"/>
          <w:sz w:val="24"/>
          <w:szCs w:val="24"/>
          <w:shd w:val="clear" w:color="auto" w:fill="F9F9F9"/>
        </w:rPr>
        <w:t>Ṣ</w:t>
      </w:r>
      <w:r w:rsidR="007B5FF2">
        <w:rPr>
          <w:rFonts w:ascii="Arial" w:hAnsi="Arial" w:cs="Arial"/>
          <w:color w:val="000000"/>
          <w:sz w:val="24"/>
          <w:szCs w:val="24"/>
          <w:shd w:val="clear" w:color="auto" w:fill="F9F9F9"/>
        </w:rPr>
        <w:t xml:space="preserve">ar’a. Regarding the testimony on “Shtual” west of Zorah, I do not know of any support for this in other sources, but a certain degree of support can likely be found in </w:t>
      </w:r>
      <w:r w:rsidR="0022164F">
        <w:rPr>
          <w:rFonts w:ascii="Arial" w:hAnsi="Arial" w:cs="Arial"/>
          <w:color w:val="000000"/>
          <w:sz w:val="24"/>
          <w:szCs w:val="24"/>
          <w:shd w:val="clear" w:color="auto" w:fill="F9F9F9"/>
        </w:rPr>
        <w:t>Eusebius</w:t>
      </w:r>
      <w:r w:rsidR="003058D5">
        <w:rPr>
          <w:rFonts w:ascii="Arial" w:hAnsi="Arial" w:cs="Arial"/>
          <w:color w:val="000000"/>
          <w:sz w:val="24"/>
          <w:szCs w:val="24"/>
          <w:shd w:val="clear" w:color="auto" w:fill="F9F9F9"/>
        </w:rPr>
        <w:t>’</w:t>
      </w:r>
      <w:r w:rsidR="0022164F">
        <w:rPr>
          <w:rFonts w:ascii="Arial" w:hAnsi="Arial" w:cs="Arial"/>
          <w:color w:val="000000"/>
          <w:sz w:val="24"/>
          <w:szCs w:val="24"/>
          <w:shd w:val="clear" w:color="auto" w:fill="F9F9F9"/>
        </w:rPr>
        <w:t xml:space="preserve"> </w:t>
      </w:r>
      <w:r w:rsidR="007B5FF2">
        <w:rPr>
          <w:rFonts w:ascii="Arial" w:hAnsi="Arial" w:cs="Arial"/>
          <w:i/>
          <w:iCs/>
          <w:color w:val="000000"/>
          <w:sz w:val="24"/>
          <w:szCs w:val="24"/>
          <w:shd w:val="clear" w:color="auto" w:fill="F9F9F9"/>
        </w:rPr>
        <w:t>Onomasticon</w:t>
      </w:r>
      <w:r w:rsidR="007B5FF2">
        <w:rPr>
          <w:rFonts w:ascii="Arial" w:hAnsi="Arial" w:cs="Arial"/>
          <w:color w:val="000000"/>
          <w:sz w:val="24"/>
          <w:szCs w:val="24"/>
          <w:shd w:val="clear" w:color="auto" w:fill="F9F9F9"/>
        </w:rPr>
        <w:t xml:space="preserve">. </w:t>
      </w:r>
      <w:r w:rsidR="00B55D18">
        <w:rPr>
          <w:rFonts w:ascii="Arial" w:hAnsi="Arial" w:cs="Arial"/>
          <w:color w:val="000000"/>
          <w:sz w:val="24"/>
          <w:szCs w:val="24"/>
          <w:shd w:val="clear" w:color="auto" w:fill="F9F9F9"/>
        </w:rPr>
        <w:t xml:space="preserve">The </w:t>
      </w:r>
      <w:r w:rsidR="00B55D18">
        <w:rPr>
          <w:rFonts w:ascii="Arial" w:hAnsi="Arial" w:cs="Arial"/>
          <w:i/>
          <w:iCs/>
          <w:color w:val="000000"/>
          <w:sz w:val="24"/>
          <w:szCs w:val="24"/>
          <w:shd w:val="clear" w:color="auto" w:fill="F9F9F9"/>
        </w:rPr>
        <w:t>Onomasticon</w:t>
      </w:r>
      <w:r w:rsidR="00B55D18">
        <w:rPr>
          <w:rFonts w:ascii="Arial" w:hAnsi="Arial" w:cs="Arial"/>
          <w:color w:val="000000"/>
          <w:sz w:val="24"/>
          <w:szCs w:val="24"/>
          <w:shd w:val="clear" w:color="auto" w:fill="F9F9F9"/>
        </w:rPr>
        <w:t xml:space="preserve"> mentions the village of Sorek on two occasions,</w:t>
      </w:r>
      <w:r w:rsidR="00B55D18">
        <w:rPr>
          <w:rStyle w:val="FootnoteReference"/>
          <w:rFonts w:ascii="Arial" w:hAnsi="Arial" w:cs="Arial"/>
          <w:color w:val="000000"/>
          <w:sz w:val="24"/>
          <w:szCs w:val="24"/>
          <w:shd w:val="clear" w:color="auto" w:fill="F9F9F9"/>
        </w:rPr>
        <w:footnoteReference w:id="8"/>
      </w:r>
      <w:r w:rsidR="00B55D18">
        <w:rPr>
          <w:rFonts w:ascii="Arial" w:hAnsi="Arial" w:cs="Arial"/>
          <w:color w:val="000000"/>
          <w:sz w:val="24"/>
          <w:szCs w:val="24"/>
          <w:shd w:val="clear" w:color="auto" w:fill="F9F9F9"/>
        </w:rPr>
        <w:t xml:space="preserve"> and both times Eusebius highlights the connection to Nahal Sorek, the brook where Samson came to meet Delilah for the first time. In one of the mentions he writes that the site is near Zorah, and in the other mention he writes that it is near Eshtaol. Sorek itself is identified with Khirbet </w:t>
      </w:r>
      <w:r w:rsidR="008F30C2">
        <w:rPr>
          <w:rFonts w:ascii="Arial" w:hAnsi="Arial" w:cs="Arial"/>
          <w:color w:val="000000"/>
          <w:sz w:val="24"/>
          <w:szCs w:val="24"/>
          <w:shd w:val="clear" w:color="auto" w:fill="F9F9F9"/>
        </w:rPr>
        <w:t xml:space="preserve">Surik </w:t>
      </w:r>
      <w:r w:rsidR="00B55D18">
        <w:rPr>
          <w:rFonts w:ascii="Arial" w:hAnsi="Arial" w:cs="Arial"/>
          <w:color w:val="000000"/>
          <w:sz w:val="24"/>
          <w:szCs w:val="24"/>
          <w:shd w:val="clear" w:color="auto" w:fill="F9F9F9"/>
        </w:rPr>
        <w:t xml:space="preserve">(two miles west of </w:t>
      </w:r>
      <w:r w:rsidR="008F30C2">
        <w:rPr>
          <w:rFonts w:ascii="Arial Unicode MS" w:eastAsia="Arial Unicode MS" w:hAnsi="Arial Unicode MS" w:cs="Arial Unicode MS" w:hint="eastAsia"/>
          <w:color w:val="000000"/>
          <w:sz w:val="24"/>
          <w:szCs w:val="24"/>
          <w:shd w:val="clear" w:color="auto" w:fill="F9F9F9"/>
        </w:rPr>
        <w:t>Ṣ</w:t>
      </w:r>
      <w:r w:rsidR="00B55D18">
        <w:rPr>
          <w:rFonts w:ascii="Arial" w:hAnsi="Arial" w:cs="Arial"/>
          <w:color w:val="000000"/>
          <w:sz w:val="24"/>
          <w:szCs w:val="24"/>
          <w:shd w:val="clear" w:color="auto" w:fill="F9F9F9"/>
        </w:rPr>
        <w:t xml:space="preserve">ar’a). </w:t>
      </w:r>
      <w:r w:rsidR="00B55D18">
        <w:rPr>
          <w:rFonts w:ascii="Arial" w:hAnsi="Arial" w:cs="Arial"/>
          <w:color w:val="000000"/>
          <w:sz w:val="24"/>
          <w:szCs w:val="24"/>
          <w:shd w:val="clear" w:color="auto" w:fill="F9F9F9"/>
        </w:rPr>
        <w:lastRenderedPageBreak/>
        <w:t xml:space="preserve">Eusebius’ biblical identification </w:t>
      </w:r>
      <w:r w:rsidR="00613D59">
        <w:rPr>
          <w:rFonts w:ascii="Arial" w:hAnsi="Arial" w:cs="Arial"/>
          <w:color w:val="000000"/>
          <w:sz w:val="24"/>
          <w:szCs w:val="24"/>
          <w:shd w:val="clear" w:color="auto" w:fill="F9F9F9"/>
        </w:rPr>
        <w:t xml:space="preserve">of Sorek is questionable, but </w:t>
      </w:r>
      <w:r w:rsidR="00E84C6D">
        <w:rPr>
          <w:rFonts w:ascii="Arial" w:hAnsi="Arial" w:cs="Arial"/>
          <w:color w:val="000000"/>
          <w:sz w:val="24"/>
          <w:szCs w:val="24"/>
          <w:shd w:val="clear" w:color="auto" w:fill="F9F9F9"/>
        </w:rPr>
        <w:t xml:space="preserve">his testimony on the ground is presumably trustworthy. Based on this, we must ostensibly seek out </w:t>
      </w:r>
      <w:r w:rsidR="00985B9C">
        <w:rPr>
          <w:rFonts w:ascii="Arial" w:hAnsi="Arial" w:cs="Arial"/>
          <w:color w:val="000000"/>
          <w:sz w:val="24"/>
          <w:szCs w:val="24"/>
          <w:shd w:val="clear" w:color="auto" w:fill="F9F9F9"/>
        </w:rPr>
        <w:t xml:space="preserve">the </w:t>
      </w:r>
      <w:r w:rsidR="00E84C6D">
        <w:rPr>
          <w:rFonts w:ascii="Arial" w:hAnsi="Arial" w:cs="Arial"/>
          <w:color w:val="000000"/>
          <w:sz w:val="24"/>
          <w:szCs w:val="24"/>
          <w:shd w:val="clear" w:color="auto" w:fill="F9F9F9"/>
        </w:rPr>
        <w:t>Eshtaol</w:t>
      </w:r>
      <w:r w:rsidR="00985B9C">
        <w:rPr>
          <w:rFonts w:ascii="Arial" w:hAnsi="Arial" w:cs="Arial"/>
          <w:color w:val="000000"/>
          <w:sz w:val="24"/>
          <w:szCs w:val="24"/>
          <w:shd w:val="clear" w:color="auto" w:fill="F9F9F9"/>
        </w:rPr>
        <w:t xml:space="preserve"> that Eusebius recognized west of Zorah rather than east of it; this issue requires further study.</w:t>
      </w:r>
    </w:p>
    <w:p w:rsidR="00985B9C" w:rsidRDefault="00985B9C" w:rsidP="00F6685D">
      <w:pPr>
        <w:spacing w:after="0" w:line="240" w:lineRule="auto"/>
        <w:jc w:val="both"/>
        <w:outlineLvl w:val="0"/>
        <w:rPr>
          <w:rFonts w:ascii="Arial" w:hAnsi="Arial" w:cs="Arial"/>
          <w:color w:val="000000"/>
          <w:sz w:val="24"/>
          <w:szCs w:val="24"/>
          <w:shd w:val="clear" w:color="auto" w:fill="F9F9F9"/>
        </w:rPr>
      </w:pPr>
    </w:p>
    <w:p w:rsidR="00985B9C" w:rsidRDefault="00985B9C" w:rsidP="00F6685D">
      <w:pPr>
        <w:spacing w:after="0" w:line="240" w:lineRule="auto"/>
        <w:jc w:val="both"/>
        <w:outlineLvl w:val="0"/>
        <w:rPr>
          <w:rFonts w:ascii="Arial" w:hAnsi="Arial" w:cs="Arial"/>
          <w:color w:val="000000"/>
          <w:sz w:val="24"/>
          <w:szCs w:val="24"/>
          <w:shd w:val="clear" w:color="auto" w:fill="F9F9F9"/>
        </w:rPr>
      </w:pPr>
      <w:r>
        <w:rPr>
          <w:rFonts w:ascii="Arial" w:hAnsi="Arial" w:cs="Arial"/>
          <w:color w:val="000000"/>
          <w:sz w:val="24"/>
          <w:szCs w:val="24"/>
          <w:shd w:val="clear" w:color="auto" w:fill="F9F9F9"/>
        </w:rPr>
        <w:tab/>
        <w:t xml:space="preserve">In the end, it seems that in the past Eshtaol continued to be recognized by its ancient name, but in the last few centuries its identity has been forgotten. It is likely that in the future, additional sources will be found that will shed more light on this </w:t>
      </w:r>
      <w:r w:rsidR="008B649C">
        <w:rPr>
          <w:rFonts w:ascii="Arial" w:hAnsi="Arial" w:cs="Arial"/>
          <w:color w:val="000000"/>
          <w:sz w:val="24"/>
          <w:szCs w:val="24"/>
          <w:shd w:val="clear" w:color="auto" w:fill="F9F9F9"/>
        </w:rPr>
        <w:t>question</w:t>
      </w:r>
      <w:r>
        <w:rPr>
          <w:rFonts w:ascii="Arial" w:hAnsi="Arial" w:cs="Arial"/>
          <w:color w:val="000000"/>
          <w:sz w:val="24"/>
          <w:szCs w:val="24"/>
          <w:shd w:val="clear" w:color="auto" w:fill="F9F9F9"/>
        </w:rPr>
        <w:t xml:space="preserve">. The distance that Eusebius records in his “Iermus” entry seems to fit with the </w:t>
      </w:r>
      <w:r w:rsidR="008B649C">
        <w:rPr>
          <w:rFonts w:ascii="Arial" w:hAnsi="Arial" w:cs="Arial"/>
          <w:color w:val="000000"/>
          <w:sz w:val="24"/>
          <w:szCs w:val="24"/>
          <w:shd w:val="clear" w:color="auto" w:fill="F9F9F9"/>
        </w:rPr>
        <w:t>region of modern-day Eshtaol, but the other details that he recorded fit this region less; it is difficult to ascertain the truth of the matter.</w:t>
      </w:r>
    </w:p>
    <w:p w:rsidR="00E30975" w:rsidRDefault="00E30975" w:rsidP="00F6685D">
      <w:pPr>
        <w:spacing w:after="0" w:line="240" w:lineRule="auto"/>
        <w:jc w:val="both"/>
        <w:outlineLvl w:val="0"/>
        <w:rPr>
          <w:rFonts w:ascii="Arial" w:hAnsi="Arial" w:cs="Arial"/>
          <w:color w:val="000000"/>
          <w:sz w:val="24"/>
          <w:szCs w:val="24"/>
          <w:shd w:val="clear" w:color="auto" w:fill="F9F9F9"/>
        </w:rPr>
      </w:pPr>
    </w:p>
    <w:p w:rsidR="00E30975" w:rsidRDefault="00E30975" w:rsidP="00F6685D">
      <w:pPr>
        <w:keepNext/>
        <w:spacing w:after="0" w:line="240" w:lineRule="auto"/>
        <w:jc w:val="center"/>
        <w:outlineLvl w:val="0"/>
      </w:pPr>
      <w:r>
        <w:rPr>
          <w:rFonts w:ascii="Arial" w:hAnsi="Arial" w:cs="Arial"/>
          <w:noProof/>
          <w:sz w:val="24"/>
          <w:szCs w:val="24"/>
          <w:shd w:val="clear" w:color="auto" w:fill="FFFFFF"/>
        </w:rPr>
        <w:drawing>
          <wp:inline distT="0" distB="0" distL="0" distR="0" wp14:anchorId="78688025" wp14:editId="5C090892">
            <wp:extent cx="5276215" cy="3515995"/>
            <wp:effectExtent l="19050" t="0" r="635" b="0"/>
            <wp:docPr id="4" name="Picture 1" descr="Eshtaol 20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htaol 2015-1-2.jpg"/>
                    <pic:cNvPicPr/>
                  </pic:nvPicPr>
                  <pic:blipFill>
                    <a:blip r:embed="rId12" cstate="print"/>
                    <a:stretch>
                      <a:fillRect/>
                    </a:stretch>
                  </pic:blipFill>
                  <pic:spPr>
                    <a:xfrm>
                      <a:off x="0" y="0"/>
                      <a:ext cx="5276215" cy="3515995"/>
                    </a:xfrm>
                    <a:prstGeom prst="rect">
                      <a:avLst/>
                    </a:prstGeom>
                  </pic:spPr>
                </pic:pic>
              </a:graphicData>
            </a:graphic>
          </wp:inline>
        </w:drawing>
      </w:r>
    </w:p>
    <w:p w:rsidR="00E30975" w:rsidRPr="00692996" w:rsidRDefault="00E30975" w:rsidP="00F6685D">
      <w:pPr>
        <w:pStyle w:val="Caption"/>
        <w:spacing w:after="0"/>
        <w:jc w:val="center"/>
        <w:rPr>
          <w:rStyle w:val="Emphasis"/>
          <w:rFonts w:ascii="Arial" w:hAnsi="Arial" w:cs="Arial"/>
          <w:b w:val="0"/>
          <w:bCs w:val="0"/>
          <w:i w:val="0"/>
          <w:iCs w:val="0"/>
          <w:color w:val="auto"/>
          <w:sz w:val="20"/>
          <w:szCs w:val="20"/>
          <w:shd w:val="clear" w:color="auto" w:fill="FFFFFF"/>
        </w:rPr>
      </w:pPr>
      <w:r>
        <w:rPr>
          <w:rStyle w:val="Emphasis"/>
          <w:rFonts w:ascii="Arial" w:hAnsi="Arial" w:cs="Arial"/>
          <w:b w:val="0"/>
          <w:bCs w:val="0"/>
          <w:i w:val="0"/>
          <w:iCs w:val="0"/>
          <w:color w:val="auto"/>
          <w:sz w:val="20"/>
          <w:szCs w:val="20"/>
          <w:shd w:val="clear" w:color="auto" w:fill="FFFFFF"/>
        </w:rPr>
        <w:t>Moshav Eshtaol on the ruins of the village of ‘Ishwa, surrounded by forests (Courtesy of Dr. Zev Rothkoff, 2015)</w:t>
      </w:r>
    </w:p>
    <w:p w:rsidR="008B649C" w:rsidRDefault="008B649C" w:rsidP="00F6685D">
      <w:pPr>
        <w:spacing w:after="0" w:line="240" w:lineRule="auto"/>
        <w:jc w:val="both"/>
        <w:outlineLvl w:val="0"/>
        <w:rPr>
          <w:rFonts w:ascii="Arial" w:hAnsi="Arial" w:cs="Arial"/>
          <w:color w:val="000000"/>
          <w:sz w:val="24"/>
          <w:szCs w:val="24"/>
          <w:shd w:val="clear" w:color="auto" w:fill="F9F9F9"/>
        </w:rPr>
      </w:pPr>
    </w:p>
    <w:p w:rsidR="008B649C" w:rsidRDefault="008B649C" w:rsidP="00F6685D">
      <w:pPr>
        <w:spacing w:after="0" w:line="240" w:lineRule="auto"/>
        <w:jc w:val="both"/>
        <w:outlineLvl w:val="0"/>
        <w:rPr>
          <w:rFonts w:ascii="Arial" w:hAnsi="Arial" w:cs="Arial"/>
          <w:b/>
          <w:bCs/>
          <w:color w:val="000000"/>
          <w:sz w:val="24"/>
          <w:szCs w:val="24"/>
          <w:shd w:val="clear" w:color="auto" w:fill="F9F9F9"/>
        </w:rPr>
      </w:pPr>
      <w:r>
        <w:rPr>
          <w:rFonts w:ascii="Arial" w:hAnsi="Arial" w:cs="Arial"/>
          <w:b/>
          <w:bCs/>
          <w:color w:val="000000"/>
          <w:sz w:val="24"/>
          <w:szCs w:val="24"/>
          <w:shd w:val="clear" w:color="auto" w:fill="F9F9F9"/>
        </w:rPr>
        <w:t>To Which Tribe Did Zorah and Eshtaol Belong?</w:t>
      </w:r>
    </w:p>
    <w:p w:rsidR="008B649C" w:rsidRDefault="008B649C" w:rsidP="00F6685D">
      <w:pPr>
        <w:spacing w:after="0" w:line="240" w:lineRule="auto"/>
        <w:jc w:val="both"/>
        <w:outlineLvl w:val="0"/>
        <w:rPr>
          <w:rFonts w:ascii="Arial" w:hAnsi="Arial" w:cs="Arial"/>
          <w:b/>
          <w:bCs/>
          <w:color w:val="000000"/>
          <w:sz w:val="24"/>
          <w:szCs w:val="24"/>
          <w:shd w:val="clear" w:color="auto" w:fill="F9F9F9"/>
        </w:rPr>
      </w:pPr>
    </w:p>
    <w:p w:rsidR="008B649C" w:rsidRDefault="008B649C" w:rsidP="00F6685D">
      <w:pPr>
        <w:spacing w:after="0" w:line="240" w:lineRule="auto"/>
        <w:jc w:val="both"/>
        <w:outlineLvl w:val="0"/>
        <w:rPr>
          <w:rFonts w:ascii="Arial" w:hAnsi="Arial" w:cs="Arial"/>
          <w:color w:val="000000"/>
          <w:sz w:val="24"/>
          <w:szCs w:val="24"/>
          <w:shd w:val="clear" w:color="auto" w:fill="F9F9F9"/>
        </w:rPr>
      </w:pPr>
      <w:r>
        <w:rPr>
          <w:rFonts w:ascii="Arial" w:hAnsi="Arial" w:cs="Arial"/>
          <w:color w:val="000000"/>
          <w:sz w:val="24"/>
          <w:szCs w:val="24"/>
          <w:shd w:val="clear" w:color="auto" w:fill="F9F9F9"/>
        </w:rPr>
        <w:tab/>
        <w:t xml:space="preserve">Zorah and Eshtaol are places that are typically associated with the </w:t>
      </w:r>
      <w:r>
        <w:rPr>
          <w:rFonts w:ascii="Arial" w:hAnsi="Arial" w:cs="Arial"/>
          <w:b/>
          <w:bCs/>
          <w:color w:val="000000"/>
          <w:sz w:val="24"/>
          <w:szCs w:val="24"/>
          <w:shd w:val="clear" w:color="auto" w:fill="F9F9F9"/>
        </w:rPr>
        <w:t>tribe of Dan</w:t>
      </w:r>
      <w:r>
        <w:rPr>
          <w:rFonts w:ascii="Arial" w:hAnsi="Arial" w:cs="Arial"/>
          <w:color w:val="000000"/>
          <w:sz w:val="24"/>
          <w:szCs w:val="24"/>
          <w:shd w:val="clear" w:color="auto" w:fill="F9F9F9"/>
        </w:rPr>
        <w:t xml:space="preserve">. The pair appears at the beginning and end of the series of narratives involving </w:t>
      </w:r>
      <w:r w:rsidR="00A34773">
        <w:rPr>
          <w:rFonts w:ascii="Arial" w:hAnsi="Arial" w:cs="Arial"/>
          <w:color w:val="000000"/>
          <w:sz w:val="24"/>
          <w:szCs w:val="24"/>
          <w:shd w:val="clear" w:color="auto" w:fill="F9F9F9"/>
        </w:rPr>
        <w:t xml:space="preserve">the Danite judge Samson: “The spirit of the Lord first moved him… between Zorah and Eshtaol” (Judges 13:25); “They buried him between Zorah and Eshtaol” (16:31). The book of Judges contains another set of stories involving the tribe of Dan, a multi-strand narrative surrounding the conquest of Laish and Micah’s idol. In this narrative as well, Zorah and Eshtaol are the centers of life for the tribe of Dan. </w:t>
      </w:r>
      <w:r w:rsidR="0098791C">
        <w:rPr>
          <w:rFonts w:ascii="Arial" w:hAnsi="Arial" w:cs="Arial"/>
          <w:color w:val="000000"/>
          <w:sz w:val="24"/>
          <w:szCs w:val="24"/>
          <w:shd w:val="clear" w:color="auto" w:fill="F9F9F9"/>
        </w:rPr>
        <w:t>“Valiant men” set out from there to spy out the land on behalf of their kinsmen; the spies would return there to report their findings; and “six hundred strong, girt with weapons of war” departed from there on their way to</w:t>
      </w:r>
      <w:r w:rsidR="00A1034D">
        <w:rPr>
          <w:rFonts w:ascii="Arial" w:hAnsi="Arial" w:cs="Arial"/>
          <w:color w:val="000000"/>
          <w:sz w:val="24"/>
          <w:szCs w:val="24"/>
          <w:shd w:val="clear" w:color="auto" w:fill="F9F9F9"/>
        </w:rPr>
        <w:t xml:space="preserve"> conquer Laish in the north, traveling via the home of Micah in Mount Ephraim</w:t>
      </w:r>
      <w:r w:rsidR="0098791C">
        <w:rPr>
          <w:rFonts w:ascii="Arial" w:hAnsi="Arial" w:cs="Arial"/>
          <w:color w:val="000000"/>
          <w:sz w:val="24"/>
          <w:szCs w:val="24"/>
          <w:shd w:val="clear" w:color="auto" w:fill="F9F9F9"/>
        </w:rPr>
        <w:t xml:space="preserve"> (18:2, 8, 11). </w:t>
      </w:r>
      <w:r w:rsidR="00A1034D">
        <w:rPr>
          <w:rFonts w:ascii="Arial" w:hAnsi="Arial" w:cs="Arial"/>
          <w:color w:val="000000"/>
          <w:sz w:val="24"/>
          <w:szCs w:val="24"/>
          <w:shd w:val="clear" w:color="auto" w:fill="F9F9F9"/>
        </w:rPr>
        <w:t xml:space="preserve">It is well known that the </w:t>
      </w:r>
      <w:r w:rsidR="00A1034D">
        <w:rPr>
          <w:rFonts w:ascii="Arial" w:hAnsi="Arial" w:cs="Arial"/>
          <w:color w:val="000000"/>
          <w:sz w:val="24"/>
          <w:szCs w:val="24"/>
          <w:shd w:val="clear" w:color="auto" w:fill="F9F9F9"/>
        </w:rPr>
        <w:lastRenderedPageBreak/>
        <w:t>narrative in chapter 18 occurred chronologically at the start of the period of the Judges – the story was already recounted in brief in Joshua 19:47 and the end of the story seems to feature a grandson of Moses</w:t>
      </w:r>
      <w:r w:rsidR="00A1034D">
        <w:rPr>
          <w:rStyle w:val="FootnoteReference"/>
          <w:rFonts w:ascii="Arial" w:hAnsi="Arial" w:cs="Arial"/>
          <w:color w:val="000000"/>
          <w:sz w:val="24"/>
          <w:szCs w:val="24"/>
          <w:shd w:val="clear" w:color="auto" w:fill="F9F9F9"/>
        </w:rPr>
        <w:footnoteReference w:id="9"/>
      </w:r>
      <w:r w:rsidR="00A1034D">
        <w:rPr>
          <w:rFonts w:ascii="Arial" w:hAnsi="Arial" w:cs="Arial"/>
          <w:color w:val="000000"/>
          <w:sz w:val="24"/>
          <w:szCs w:val="24"/>
          <w:shd w:val="clear" w:color="auto" w:fill="F9F9F9"/>
        </w:rPr>
        <w:t xml:space="preserve"> - whereas the story of Samson that appears in prior chapters actually occurred at the end of the period of the Judges.</w:t>
      </w:r>
      <w:r w:rsidR="00A1034D">
        <w:rPr>
          <w:rStyle w:val="FootnoteReference"/>
          <w:rFonts w:ascii="Arial" w:hAnsi="Arial" w:cs="Arial"/>
          <w:color w:val="000000"/>
          <w:sz w:val="24"/>
          <w:szCs w:val="24"/>
          <w:shd w:val="clear" w:color="auto" w:fill="F9F9F9"/>
        </w:rPr>
        <w:footnoteReference w:id="10"/>
      </w:r>
      <w:r w:rsidR="00880A08">
        <w:rPr>
          <w:rFonts w:ascii="Arial" w:hAnsi="Arial" w:cs="Arial"/>
          <w:color w:val="000000"/>
          <w:sz w:val="24"/>
          <w:szCs w:val="24"/>
          <w:shd w:val="clear" w:color="auto" w:fill="F9F9F9"/>
        </w:rPr>
        <w:t xml:space="preserve"> We can learn from this that only a portion of the tribe of Dan traveled north, while the rest of the tribe remained in the original Danite territory. The Song of Deborah (“And Dan – why did he linger by the ships?” [5:17]) teaches us that there were some Danite sailors, who perhaps settled in Jaffa.</w:t>
      </w:r>
    </w:p>
    <w:p w:rsidR="00880A08" w:rsidRDefault="00880A08" w:rsidP="00F6685D">
      <w:pPr>
        <w:spacing w:after="0" w:line="240" w:lineRule="auto"/>
        <w:jc w:val="both"/>
        <w:outlineLvl w:val="0"/>
        <w:rPr>
          <w:rFonts w:ascii="Arial" w:hAnsi="Arial" w:cs="Arial"/>
          <w:color w:val="000000"/>
          <w:sz w:val="24"/>
          <w:szCs w:val="24"/>
          <w:shd w:val="clear" w:color="auto" w:fill="F9F9F9"/>
        </w:rPr>
      </w:pPr>
    </w:p>
    <w:p w:rsidR="00880A08" w:rsidRDefault="00880A08" w:rsidP="00F6685D">
      <w:pPr>
        <w:spacing w:after="0" w:line="240" w:lineRule="auto"/>
        <w:jc w:val="both"/>
        <w:outlineLvl w:val="0"/>
        <w:rPr>
          <w:rFonts w:ascii="Arial" w:hAnsi="Arial" w:cs="Arial"/>
          <w:color w:val="000000"/>
          <w:sz w:val="24"/>
          <w:szCs w:val="24"/>
          <w:shd w:val="clear" w:color="auto" w:fill="F9F9F9"/>
        </w:rPr>
      </w:pPr>
      <w:r>
        <w:rPr>
          <w:rFonts w:ascii="Arial" w:hAnsi="Arial" w:cs="Arial"/>
          <w:color w:val="000000"/>
          <w:sz w:val="24"/>
          <w:szCs w:val="24"/>
          <w:shd w:val="clear" w:color="auto" w:fill="F9F9F9"/>
        </w:rPr>
        <w:tab/>
      </w:r>
      <w:r w:rsidR="00FA3D0D">
        <w:rPr>
          <w:rFonts w:ascii="Arial" w:hAnsi="Arial" w:cs="Arial"/>
          <w:color w:val="000000"/>
          <w:sz w:val="24"/>
          <w:szCs w:val="24"/>
          <w:shd w:val="clear" w:color="auto" w:fill="F9F9F9"/>
        </w:rPr>
        <w:t xml:space="preserve">However, in </w:t>
      </w:r>
      <w:r>
        <w:rPr>
          <w:rFonts w:ascii="Arial" w:hAnsi="Arial" w:cs="Arial"/>
          <w:color w:val="000000"/>
          <w:sz w:val="24"/>
          <w:szCs w:val="24"/>
          <w:shd w:val="clear" w:color="auto" w:fill="F9F9F9"/>
        </w:rPr>
        <w:t xml:space="preserve">the book of Joshua we find that Zorah and Eshtaol are enumerated twice: in 15:33 the cities appear first in the list of the cities of the Shephelah belonging to the tribe of </w:t>
      </w:r>
      <w:r>
        <w:rPr>
          <w:rFonts w:ascii="Arial" w:hAnsi="Arial" w:cs="Arial"/>
          <w:b/>
          <w:bCs/>
          <w:color w:val="000000"/>
          <w:sz w:val="24"/>
          <w:szCs w:val="24"/>
          <w:shd w:val="clear" w:color="auto" w:fill="F9F9F9"/>
        </w:rPr>
        <w:t>Judah</w:t>
      </w:r>
      <w:r>
        <w:rPr>
          <w:rFonts w:ascii="Arial" w:hAnsi="Arial" w:cs="Arial"/>
          <w:color w:val="000000"/>
          <w:sz w:val="24"/>
          <w:szCs w:val="24"/>
          <w:shd w:val="clear" w:color="auto" w:fill="F9F9F9"/>
        </w:rPr>
        <w:t xml:space="preserve">; and in 19:41 they appear first in the list of cities </w:t>
      </w:r>
      <w:r w:rsidR="00C861F0">
        <w:rPr>
          <w:rFonts w:ascii="Arial" w:hAnsi="Arial" w:cs="Arial"/>
          <w:color w:val="000000"/>
          <w:sz w:val="24"/>
          <w:szCs w:val="24"/>
          <w:shd w:val="clear" w:color="auto" w:fill="F9F9F9"/>
        </w:rPr>
        <w:t xml:space="preserve">belonging to the tribe of </w:t>
      </w:r>
      <w:r w:rsidR="00C861F0">
        <w:rPr>
          <w:rFonts w:ascii="Arial" w:hAnsi="Arial" w:cs="Arial"/>
          <w:b/>
          <w:bCs/>
          <w:color w:val="000000"/>
          <w:sz w:val="24"/>
          <w:szCs w:val="24"/>
          <w:shd w:val="clear" w:color="auto" w:fill="F9F9F9"/>
        </w:rPr>
        <w:t>Dan</w:t>
      </w:r>
      <w:r w:rsidR="00C861F0">
        <w:rPr>
          <w:rFonts w:ascii="Arial" w:hAnsi="Arial" w:cs="Arial"/>
          <w:color w:val="000000"/>
          <w:sz w:val="24"/>
          <w:szCs w:val="24"/>
          <w:shd w:val="clear" w:color="auto" w:fill="F9F9F9"/>
        </w:rPr>
        <w:t xml:space="preserve">. To whom do the cities belong? Rashi explained that they were border cities: “They belonged to Judah and the border of the Danites fell near them.” This explanation is difficult to accept: To whom did the cities actually belong? To Judah or to Dan? On several occasions in the </w:t>
      </w:r>
      <w:r w:rsidR="0076775D">
        <w:rPr>
          <w:rFonts w:ascii="Arial" w:hAnsi="Arial" w:cs="Arial"/>
          <w:color w:val="000000"/>
          <w:sz w:val="24"/>
          <w:szCs w:val="24"/>
          <w:shd w:val="clear" w:color="auto" w:fill="F9F9F9"/>
        </w:rPr>
        <w:t>allotment</w:t>
      </w:r>
      <w:r w:rsidR="00C861F0">
        <w:rPr>
          <w:rFonts w:ascii="Arial" w:hAnsi="Arial" w:cs="Arial"/>
          <w:color w:val="000000"/>
          <w:sz w:val="24"/>
          <w:szCs w:val="24"/>
          <w:shd w:val="clear" w:color="auto" w:fill="F9F9F9"/>
        </w:rPr>
        <w:t xml:space="preserve"> chapters, we find that the </w:t>
      </w:r>
      <w:r w:rsidR="00C861F0">
        <w:rPr>
          <w:rFonts w:ascii="Arial" w:hAnsi="Arial" w:cs="Arial"/>
          <w:i/>
          <w:iCs/>
          <w:color w:val="000000"/>
          <w:sz w:val="24"/>
          <w:szCs w:val="24"/>
          <w:shd w:val="clear" w:color="auto" w:fill="F9F9F9"/>
        </w:rPr>
        <w:t>Tanakh</w:t>
      </w:r>
      <w:r w:rsidR="00C861F0">
        <w:rPr>
          <w:rFonts w:ascii="Arial" w:hAnsi="Arial" w:cs="Arial"/>
          <w:color w:val="000000"/>
          <w:sz w:val="24"/>
          <w:szCs w:val="24"/>
          <w:shd w:val="clear" w:color="auto" w:fill="F9F9F9"/>
        </w:rPr>
        <w:t xml:space="preserve"> stresses the status of the border cities. Regarding Kiriath-jearim on the border of Judah and Benjamin, the verse states that it was “a city of the Judites” (Joshua 18:14). The Benjaminite border runs through the region of Beth-horon “to the hill south of Lower Beth-horon” (18:13). There is no prominent hill in the Lower Beth-horon region; the intent of the verse was to declare that Beth-horon itself belonged to Ephraim. If so, why didn’t the verse explicate similarly in the case of Zorah and Eshtaol? It </w:t>
      </w:r>
      <w:r w:rsidR="002F2F16">
        <w:rPr>
          <w:rFonts w:ascii="Arial" w:hAnsi="Arial" w:cs="Arial"/>
          <w:color w:val="000000"/>
          <w:sz w:val="24"/>
          <w:szCs w:val="24"/>
          <w:shd w:val="clear" w:color="auto" w:fill="F9F9F9"/>
        </w:rPr>
        <w:t>may be</w:t>
      </w:r>
      <w:r w:rsidR="00C861F0">
        <w:rPr>
          <w:rFonts w:ascii="Arial" w:hAnsi="Arial" w:cs="Arial"/>
          <w:color w:val="000000"/>
          <w:sz w:val="24"/>
          <w:szCs w:val="24"/>
          <w:shd w:val="clear" w:color="auto" w:fill="F9F9F9"/>
        </w:rPr>
        <w:t xml:space="preserve"> that Rashi intended to distinguish between the city and the territorial region, in the same vein as “The region of Tappuah belonged to Manaseh; but Tappuah, on the border of Manasseh, belonged to the Ephraimites” (17:8) and </w:t>
      </w:r>
      <w:r w:rsidR="002F2F16">
        <w:rPr>
          <w:rFonts w:ascii="Arial" w:hAnsi="Arial" w:cs="Arial"/>
          <w:color w:val="000000"/>
          <w:sz w:val="24"/>
          <w:szCs w:val="24"/>
          <w:shd w:val="clear" w:color="auto" w:fill="F9F9F9"/>
        </w:rPr>
        <w:t>regarding Hebron</w:t>
      </w:r>
      <w:r w:rsidR="003058D5">
        <w:rPr>
          <w:rFonts w:ascii="Arial" w:hAnsi="Arial" w:cs="Arial"/>
          <w:color w:val="000000"/>
          <w:sz w:val="24"/>
          <w:szCs w:val="24"/>
          <w:shd w:val="clear" w:color="auto" w:fill="F9F9F9"/>
        </w:rPr>
        <w:t xml:space="preserve"> –</w:t>
      </w:r>
      <w:r w:rsidR="001941F0">
        <w:rPr>
          <w:rFonts w:ascii="Arial" w:hAnsi="Arial" w:cs="Arial"/>
          <w:color w:val="000000"/>
          <w:sz w:val="24"/>
          <w:szCs w:val="24"/>
          <w:shd w:val="clear" w:color="auto" w:fill="F9F9F9"/>
        </w:rPr>
        <w:t xml:space="preserve"> where the city itself was a priestly city while its territory was given to the clan of Caleb</w:t>
      </w:r>
      <w:r w:rsidR="003058D5">
        <w:rPr>
          <w:rFonts w:ascii="Arial" w:hAnsi="Arial" w:cs="Arial"/>
          <w:color w:val="000000"/>
          <w:sz w:val="24"/>
          <w:szCs w:val="24"/>
          <w:shd w:val="clear" w:color="auto" w:fill="F9F9F9"/>
        </w:rPr>
        <w:t xml:space="preserve"> –</w:t>
      </w:r>
      <w:r w:rsidR="002F2F16">
        <w:rPr>
          <w:rFonts w:ascii="Arial" w:hAnsi="Arial" w:cs="Arial"/>
          <w:color w:val="000000"/>
          <w:sz w:val="24"/>
          <w:szCs w:val="24"/>
          <w:shd w:val="clear" w:color="auto" w:fill="F9F9F9"/>
        </w:rPr>
        <w:t xml:space="preserve"> “They gave the fields and the villages of the city to Caleb son of Jephunneh as his holding” (21:11). But</w:t>
      </w:r>
      <w:r w:rsidR="00DD3801">
        <w:rPr>
          <w:rFonts w:ascii="Arial" w:hAnsi="Arial" w:cs="Arial"/>
          <w:color w:val="000000"/>
          <w:sz w:val="24"/>
          <w:szCs w:val="24"/>
          <w:shd w:val="clear" w:color="auto" w:fill="F9F9F9"/>
        </w:rPr>
        <w:t xml:space="preserve"> why was </w:t>
      </w:r>
      <w:r w:rsidR="003058D5">
        <w:rPr>
          <w:rFonts w:ascii="Arial" w:hAnsi="Arial" w:cs="Arial"/>
          <w:color w:val="000000"/>
          <w:sz w:val="24"/>
          <w:szCs w:val="24"/>
          <w:shd w:val="clear" w:color="auto" w:fill="F9F9F9"/>
        </w:rPr>
        <w:t xml:space="preserve">this point </w:t>
      </w:r>
      <w:r w:rsidR="00DD3801">
        <w:rPr>
          <w:rFonts w:ascii="Arial" w:hAnsi="Arial" w:cs="Arial"/>
          <w:color w:val="000000"/>
          <w:sz w:val="24"/>
          <w:szCs w:val="24"/>
          <w:shd w:val="clear" w:color="auto" w:fill="F9F9F9"/>
        </w:rPr>
        <w:t xml:space="preserve">not </w:t>
      </w:r>
      <w:r w:rsidR="003058D5">
        <w:rPr>
          <w:rFonts w:ascii="Arial" w:hAnsi="Arial" w:cs="Arial"/>
          <w:color w:val="000000"/>
          <w:sz w:val="24"/>
          <w:szCs w:val="24"/>
          <w:shd w:val="clear" w:color="auto" w:fill="F9F9F9"/>
        </w:rPr>
        <w:t xml:space="preserve">stated </w:t>
      </w:r>
      <w:r w:rsidR="00DD3801">
        <w:rPr>
          <w:rFonts w:ascii="Arial" w:hAnsi="Arial" w:cs="Arial"/>
          <w:color w:val="000000"/>
          <w:sz w:val="24"/>
          <w:szCs w:val="24"/>
          <w:shd w:val="clear" w:color="auto" w:fill="F9F9F9"/>
        </w:rPr>
        <w:t xml:space="preserve">explicitly by the </w:t>
      </w:r>
      <w:r w:rsidR="003058D5">
        <w:rPr>
          <w:rFonts w:ascii="Arial" w:hAnsi="Arial" w:cs="Arial"/>
          <w:i/>
          <w:iCs/>
          <w:color w:val="000000"/>
          <w:sz w:val="24"/>
          <w:szCs w:val="24"/>
          <w:shd w:val="clear" w:color="auto" w:fill="F9F9F9"/>
        </w:rPr>
        <w:t xml:space="preserve">Tanakh </w:t>
      </w:r>
      <w:r w:rsidR="00DD3801">
        <w:rPr>
          <w:rFonts w:ascii="Arial" w:hAnsi="Arial" w:cs="Arial"/>
          <w:color w:val="000000"/>
          <w:sz w:val="24"/>
          <w:szCs w:val="24"/>
          <w:shd w:val="clear" w:color="auto" w:fill="F9F9F9"/>
        </w:rPr>
        <w:t>itself? I</w:t>
      </w:r>
      <w:r w:rsidR="003058D5">
        <w:rPr>
          <w:rFonts w:ascii="Arial" w:hAnsi="Arial" w:cs="Arial"/>
          <w:color w:val="000000"/>
          <w:sz w:val="24"/>
          <w:szCs w:val="24"/>
          <w:shd w:val="clear" w:color="auto" w:fill="F9F9F9"/>
        </w:rPr>
        <w:t>n</w:t>
      </w:r>
      <w:r w:rsidR="00DD3801">
        <w:rPr>
          <w:rFonts w:ascii="Arial" w:hAnsi="Arial" w:cs="Arial"/>
          <w:color w:val="000000"/>
          <w:sz w:val="24"/>
          <w:szCs w:val="24"/>
          <w:shd w:val="clear" w:color="auto" w:fill="F9F9F9"/>
        </w:rPr>
        <w:t xml:space="preserve"> addition,</w:t>
      </w:r>
      <w:r w:rsidR="002F2F16">
        <w:rPr>
          <w:rFonts w:ascii="Arial" w:hAnsi="Arial" w:cs="Arial"/>
          <w:color w:val="000000"/>
          <w:sz w:val="24"/>
          <w:szCs w:val="24"/>
          <w:shd w:val="clear" w:color="auto" w:fill="F9F9F9"/>
        </w:rPr>
        <w:t xml:space="preserve"> we will see below that the problem of Zorah and Eshtaol is only a small part of a wider question, one that necessitates an overarching solution.</w:t>
      </w:r>
    </w:p>
    <w:p w:rsidR="002F2F16" w:rsidRDefault="002F2F16" w:rsidP="00F6685D">
      <w:pPr>
        <w:spacing w:after="0" w:line="240" w:lineRule="auto"/>
        <w:jc w:val="both"/>
        <w:outlineLvl w:val="0"/>
        <w:rPr>
          <w:rFonts w:ascii="Arial" w:hAnsi="Arial" w:cs="Arial"/>
          <w:color w:val="000000"/>
          <w:sz w:val="24"/>
          <w:szCs w:val="24"/>
          <w:shd w:val="clear" w:color="auto" w:fill="F9F9F9"/>
        </w:rPr>
      </w:pPr>
    </w:p>
    <w:p w:rsidR="002F2F16" w:rsidRDefault="002F2F16" w:rsidP="00F6685D">
      <w:pPr>
        <w:spacing w:after="0" w:line="240" w:lineRule="auto"/>
        <w:jc w:val="both"/>
        <w:outlineLvl w:val="0"/>
        <w:rPr>
          <w:rFonts w:ascii="Arial" w:hAnsi="Arial" w:cs="Arial"/>
          <w:color w:val="000000"/>
          <w:sz w:val="24"/>
          <w:szCs w:val="24"/>
          <w:shd w:val="clear" w:color="auto" w:fill="F9F9F9"/>
        </w:rPr>
      </w:pPr>
      <w:r>
        <w:rPr>
          <w:rFonts w:ascii="Arial" w:hAnsi="Arial" w:cs="Arial"/>
          <w:color w:val="000000"/>
          <w:sz w:val="24"/>
          <w:szCs w:val="24"/>
          <w:shd w:val="clear" w:color="auto" w:fill="F9F9F9"/>
        </w:rPr>
        <w:tab/>
        <w:t xml:space="preserve">The author of the </w:t>
      </w:r>
      <w:r>
        <w:rPr>
          <w:rFonts w:ascii="Arial" w:hAnsi="Arial" w:cs="Arial"/>
          <w:i/>
          <w:iCs/>
          <w:color w:val="000000"/>
          <w:sz w:val="24"/>
          <w:szCs w:val="24"/>
          <w:shd w:val="clear" w:color="auto" w:fill="F9F9F9"/>
        </w:rPr>
        <w:t xml:space="preserve">Metzudot </w:t>
      </w:r>
      <w:r>
        <w:rPr>
          <w:rFonts w:ascii="Arial" w:hAnsi="Arial" w:cs="Arial"/>
          <w:color w:val="000000"/>
          <w:sz w:val="24"/>
          <w:szCs w:val="24"/>
          <w:shd w:val="clear" w:color="auto" w:fill="F9F9F9"/>
        </w:rPr>
        <w:t>suggested a radical solution: “Zorah and Eshtaol: It may be that these</w:t>
      </w:r>
      <w:r w:rsidR="00025A42">
        <w:rPr>
          <w:rFonts w:ascii="Arial" w:hAnsi="Arial" w:cs="Arial"/>
          <w:color w:val="000000"/>
          <w:sz w:val="24"/>
          <w:szCs w:val="24"/>
          <w:shd w:val="clear" w:color="auto" w:fill="F9F9F9"/>
        </w:rPr>
        <w:t xml:space="preserve"> [cities] were not those that were on the border of Judah.” It is very difficult to accept this kind of solution. While there are indeed examples of multiple cities in the land of Israel that bear the same name, most of the time these duplicate names have readily understandable meanings, most often describing the topographical or agricultural landscape. Examples include Ramah (“rise”); Mizpah (“lookout”); Gibeah (“hill”); En-gannim (“garden spring”); and Tappuah (“apple”). In contrast, unique names like Zorah and Eshtaol do not lend themselves to duplication. But more significantly, from a </w:t>
      </w:r>
      <w:r w:rsidR="00025A42">
        <w:rPr>
          <w:rFonts w:ascii="Arial" w:hAnsi="Arial" w:cs="Arial"/>
          <w:color w:val="000000"/>
          <w:sz w:val="24"/>
          <w:szCs w:val="24"/>
          <w:shd w:val="clear" w:color="auto" w:fill="F9F9F9"/>
        </w:rPr>
        <w:lastRenderedPageBreak/>
        <w:t xml:space="preserve">statistical perspective it is hard to imagine that the </w:t>
      </w:r>
      <w:r w:rsidR="00025A42">
        <w:rPr>
          <w:rFonts w:ascii="Arial" w:hAnsi="Arial" w:cs="Arial"/>
          <w:b/>
          <w:bCs/>
          <w:color w:val="000000"/>
          <w:sz w:val="24"/>
          <w:szCs w:val="24"/>
          <w:shd w:val="clear" w:color="auto" w:fill="F9F9F9"/>
        </w:rPr>
        <w:t>pair</w:t>
      </w:r>
      <w:r w:rsidR="00025A42">
        <w:rPr>
          <w:rFonts w:ascii="Arial" w:hAnsi="Arial" w:cs="Arial"/>
          <w:color w:val="000000"/>
          <w:sz w:val="24"/>
          <w:szCs w:val="24"/>
          <w:shd w:val="clear" w:color="auto" w:fill="F9F9F9"/>
        </w:rPr>
        <w:t xml:space="preserve"> of Zorah and Eshtaol would be duplicated in two regions not far away from each other.</w:t>
      </w:r>
    </w:p>
    <w:p w:rsidR="00AB78E8" w:rsidRDefault="00AB78E8" w:rsidP="00F6685D">
      <w:pPr>
        <w:spacing w:after="0" w:line="240" w:lineRule="auto"/>
        <w:jc w:val="both"/>
        <w:outlineLvl w:val="0"/>
        <w:rPr>
          <w:rFonts w:ascii="Arial" w:hAnsi="Arial" w:cs="Arial"/>
          <w:color w:val="000000"/>
          <w:sz w:val="24"/>
          <w:szCs w:val="24"/>
          <w:shd w:val="clear" w:color="auto" w:fill="F9F9F9"/>
        </w:rPr>
      </w:pPr>
    </w:p>
    <w:p w:rsidR="00233455" w:rsidRDefault="00AB78E8" w:rsidP="00F6685D">
      <w:pPr>
        <w:spacing w:after="0" w:line="240" w:lineRule="auto"/>
        <w:jc w:val="both"/>
        <w:outlineLvl w:val="0"/>
        <w:rPr>
          <w:rFonts w:ascii="Arial" w:hAnsi="Arial" w:cs="Arial"/>
          <w:color w:val="000000"/>
          <w:sz w:val="24"/>
          <w:szCs w:val="24"/>
          <w:shd w:val="clear" w:color="auto" w:fill="F9F9F9"/>
        </w:rPr>
      </w:pPr>
      <w:r>
        <w:rPr>
          <w:rFonts w:ascii="Arial" w:hAnsi="Arial" w:cs="Arial"/>
          <w:color w:val="000000"/>
          <w:sz w:val="24"/>
          <w:szCs w:val="24"/>
          <w:shd w:val="clear" w:color="auto" w:fill="F9F9F9"/>
        </w:rPr>
        <w:tab/>
      </w:r>
      <w:r w:rsidR="00B81999">
        <w:rPr>
          <w:rFonts w:ascii="Arial" w:hAnsi="Arial" w:cs="Arial"/>
          <w:color w:val="000000"/>
          <w:sz w:val="24"/>
          <w:szCs w:val="24"/>
          <w:shd w:val="clear" w:color="auto" w:fill="F9F9F9"/>
        </w:rPr>
        <w:t xml:space="preserve">One ostensible solution could have been that the cities were given to Judah only for the initial, temporary </w:t>
      </w:r>
      <w:r w:rsidR="0076775D">
        <w:rPr>
          <w:rFonts w:ascii="Arial" w:hAnsi="Arial" w:cs="Arial"/>
          <w:color w:val="000000"/>
          <w:sz w:val="24"/>
          <w:szCs w:val="24"/>
          <w:shd w:val="clear" w:color="auto" w:fill="F9F9F9"/>
        </w:rPr>
        <w:t>allotment</w:t>
      </w:r>
      <w:r w:rsidR="00B81999">
        <w:rPr>
          <w:rFonts w:ascii="Arial" w:hAnsi="Arial" w:cs="Arial"/>
          <w:color w:val="000000"/>
          <w:sz w:val="24"/>
          <w:szCs w:val="24"/>
          <w:shd w:val="clear" w:color="auto" w:fill="F9F9F9"/>
        </w:rPr>
        <w:t xml:space="preserve">. Joshua 18 describes two stages in the apportionment of the land. In the first stage, five tribes settled their territory semi-spontaneously: Reuben, Gad and the half-tribe of Manasseh in the Transjordan; and Judah, Ephraim and the other half-tribe of Manasseh in the Cisjordan. The </w:t>
      </w:r>
      <w:r w:rsidR="00B81999">
        <w:rPr>
          <w:rFonts w:ascii="Arial" w:hAnsi="Arial" w:cs="Arial"/>
          <w:i/>
          <w:iCs/>
          <w:color w:val="000000"/>
          <w:sz w:val="24"/>
          <w:szCs w:val="24"/>
          <w:shd w:val="clear" w:color="auto" w:fill="F9F9F9"/>
        </w:rPr>
        <w:t>Tanakh</w:t>
      </w:r>
      <w:r w:rsidR="00B81999">
        <w:rPr>
          <w:rFonts w:ascii="Arial" w:hAnsi="Arial" w:cs="Arial"/>
          <w:color w:val="000000"/>
          <w:sz w:val="24"/>
          <w:szCs w:val="24"/>
          <w:shd w:val="clear" w:color="auto" w:fill="F9F9F9"/>
        </w:rPr>
        <w:t xml:space="preserve"> relates that Joshua </w:t>
      </w:r>
      <w:r w:rsidR="008E1F78">
        <w:rPr>
          <w:rFonts w:ascii="Arial" w:hAnsi="Arial" w:cs="Arial"/>
          <w:color w:val="000000"/>
          <w:sz w:val="24"/>
          <w:szCs w:val="24"/>
          <w:shd w:val="clear" w:color="auto" w:fill="F9F9F9"/>
        </w:rPr>
        <w:t xml:space="preserve">brought the nation to Shiloh, berating the remaining tribes: “How long will you be slack about going and taking possession of the land which the Lord assigned to you?” (18:3). He then sent delegations to determine the proper borders for the land and to divide the remaining territory among the seven remaining tribes. If so, we might suggest that Zorah and Eshtaol were given to Judah in the first </w:t>
      </w:r>
      <w:r w:rsidR="0076775D">
        <w:rPr>
          <w:rFonts w:ascii="Arial" w:hAnsi="Arial" w:cs="Arial"/>
          <w:color w:val="000000"/>
          <w:sz w:val="24"/>
          <w:szCs w:val="24"/>
          <w:shd w:val="clear" w:color="auto" w:fill="F9F9F9"/>
        </w:rPr>
        <w:t>allotment</w:t>
      </w:r>
      <w:r w:rsidR="008E1F78">
        <w:rPr>
          <w:rFonts w:ascii="Arial" w:hAnsi="Arial" w:cs="Arial"/>
          <w:color w:val="000000"/>
          <w:sz w:val="24"/>
          <w:szCs w:val="24"/>
          <w:shd w:val="clear" w:color="auto" w:fill="F9F9F9"/>
        </w:rPr>
        <w:t xml:space="preserve">, only to be transferred to Dan in the second </w:t>
      </w:r>
      <w:r w:rsidR="0076775D">
        <w:rPr>
          <w:rFonts w:ascii="Arial" w:hAnsi="Arial" w:cs="Arial"/>
          <w:color w:val="000000"/>
          <w:sz w:val="24"/>
          <w:szCs w:val="24"/>
          <w:shd w:val="clear" w:color="auto" w:fill="F9F9F9"/>
        </w:rPr>
        <w:t>allotment</w:t>
      </w:r>
      <w:r w:rsidR="008E1F78">
        <w:rPr>
          <w:rFonts w:ascii="Arial" w:hAnsi="Arial" w:cs="Arial"/>
          <w:color w:val="000000"/>
          <w:sz w:val="24"/>
          <w:szCs w:val="24"/>
          <w:shd w:val="clear" w:color="auto" w:fill="F9F9F9"/>
        </w:rPr>
        <w:t xml:space="preserve">. Nevertheless, this solution is also impossible. In I Chronicles at the end of chapter 2, the </w:t>
      </w:r>
      <w:r w:rsidR="008E1F78">
        <w:rPr>
          <w:rFonts w:ascii="Arial" w:hAnsi="Arial" w:cs="Arial"/>
          <w:i/>
          <w:iCs/>
          <w:color w:val="000000"/>
          <w:sz w:val="24"/>
          <w:szCs w:val="24"/>
          <w:shd w:val="clear" w:color="auto" w:fill="F9F9F9"/>
        </w:rPr>
        <w:t>Tanakh</w:t>
      </w:r>
      <w:r w:rsidR="008E1F78">
        <w:rPr>
          <w:rFonts w:ascii="Arial" w:hAnsi="Arial" w:cs="Arial"/>
          <w:color w:val="000000"/>
          <w:sz w:val="24"/>
          <w:szCs w:val="24"/>
          <w:shd w:val="clear" w:color="auto" w:fill="F9F9F9"/>
        </w:rPr>
        <w:t xml:space="preserve"> lists the families of Judite ancestry</w:t>
      </w:r>
      <w:r w:rsidR="00233455">
        <w:rPr>
          <w:rFonts w:ascii="Arial" w:hAnsi="Arial" w:cs="Arial"/>
          <w:color w:val="000000"/>
          <w:sz w:val="24"/>
          <w:szCs w:val="24"/>
          <w:shd w:val="clear" w:color="auto" w:fill="F9F9F9"/>
        </w:rPr>
        <w:t xml:space="preserve"> along with their places of residence. There we read the following:</w:t>
      </w:r>
    </w:p>
    <w:p w:rsidR="00233455" w:rsidRDefault="00233455" w:rsidP="00F6685D">
      <w:pPr>
        <w:spacing w:after="0" w:line="240" w:lineRule="auto"/>
        <w:jc w:val="both"/>
        <w:outlineLvl w:val="0"/>
        <w:rPr>
          <w:rFonts w:ascii="Arial" w:hAnsi="Arial" w:cs="Arial"/>
          <w:color w:val="000000"/>
          <w:sz w:val="24"/>
          <w:szCs w:val="24"/>
          <w:shd w:val="clear" w:color="auto" w:fill="F9F9F9"/>
        </w:rPr>
      </w:pPr>
    </w:p>
    <w:p w:rsidR="00AB78E8" w:rsidRDefault="00233455" w:rsidP="00F6685D">
      <w:pPr>
        <w:spacing w:after="0" w:line="240" w:lineRule="auto"/>
        <w:ind w:left="720"/>
        <w:jc w:val="both"/>
        <w:outlineLvl w:val="0"/>
        <w:rPr>
          <w:rFonts w:ascii="Arial" w:hAnsi="Arial" w:cs="Arial"/>
          <w:color w:val="000000"/>
          <w:sz w:val="24"/>
          <w:szCs w:val="24"/>
          <w:shd w:val="clear" w:color="auto" w:fill="F9F9F9"/>
        </w:rPr>
      </w:pPr>
      <w:r>
        <w:rPr>
          <w:rFonts w:ascii="Arial" w:hAnsi="Arial" w:cs="Arial"/>
          <w:color w:val="000000"/>
          <w:sz w:val="24"/>
          <w:szCs w:val="24"/>
          <w:shd w:val="clear" w:color="auto" w:fill="F9F9F9"/>
        </w:rPr>
        <w:t xml:space="preserve">And the families of Kiriath-jearim: the Ithrites, the Puthites, the Shumathites and the Mishraites; from these came </w:t>
      </w:r>
      <w:r w:rsidRPr="00233455">
        <w:rPr>
          <w:rFonts w:ascii="Arial" w:hAnsi="Arial" w:cs="Arial"/>
          <w:b/>
          <w:bCs/>
          <w:color w:val="000000"/>
          <w:sz w:val="24"/>
          <w:szCs w:val="24"/>
          <w:shd w:val="clear" w:color="auto" w:fill="F9F9F9"/>
        </w:rPr>
        <w:t>the Zorathites and the Eshtaolites</w:t>
      </w:r>
      <w:r>
        <w:rPr>
          <w:rFonts w:ascii="Arial" w:hAnsi="Arial" w:cs="Arial"/>
          <w:color w:val="000000"/>
          <w:sz w:val="24"/>
          <w:szCs w:val="24"/>
          <w:shd w:val="clear" w:color="auto" w:fill="F9F9F9"/>
        </w:rPr>
        <w:t xml:space="preserve">. The sons of Salma: Bethlehem, the Netophathites, Atroth-beth-joab, and half of the Manahathites, </w:t>
      </w:r>
      <w:r>
        <w:rPr>
          <w:rFonts w:ascii="Arial" w:hAnsi="Arial" w:cs="Arial"/>
          <w:b/>
          <w:bCs/>
          <w:color w:val="000000"/>
          <w:sz w:val="24"/>
          <w:szCs w:val="24"/>
          <w:shd w:val="clear" w:color="auto" w:fill="F9F9F9"/>
        </w:rPr>
        <w:t>the Zorites</w:t>
      </w:r>
      <w:r>
        <w:rPr>
          <w:rFonts w:ascii="Arial" w:hAnsi="Arial" w:cs="Arial"/>
          <w:color w:val="000000"/>
          <w:sz w:val="24"/>
          <w:szCs w:val="24"/>
          <w:shd w:val="clear" w:color="auto" w:fill="F9F9F9"/>
        </w:rPr>
        <w:t>. (2:53-54)</w:t>
      </w:r>
    </w:p>
    <w:p w:rsidR="00233455" w:rsidRDefault="00233455" w:rsidP="00F6685D">
      <w:pPr>
        <w:spacing w:after="0" w:line="240" w:lineRule="auto"/>
        <w:jc w:val="both"/>
        <w:outlineLvl w:val="0"/>
        <w:rPr>
          <w:rFonts w:ascii="Arial" w:hAnsi="Arial" w:cs="Arial"/>
          <w:color w:val="000000"/>
          <w:sz w:val="24"/>
          <w:szCs w:val="24"/>
          <w:shd w:val="clear" w:color="auto" w:fill="F9F9F9"/>
        </w:rPr>
      </w:pPr>
    </w:p>
    <w:p w:rsidR="00233455" w:rsidRDefault="00233455" w:rsidP="00F6685D">
      <w:pPr>
        <w:spacing w:after="0" w:line="240" w:lineRule="auto"/>
        <w:jc w:val="both"/>
        <w:outlineLvl w:val="0"/>
        <w:rPr>
          <w:rFonts w:ascii="Arial" w:hAnsi="Arial" w:cs="Arial"/>
          <w:color w:val="000000"/>
          <w:sz w:val="24"/>
          <w:szCs w:val="24"/>
          <w:shd w:val="clear" w:color="auto" w:fill="F9F9F9"/>
        </w:rPr>
      </w:pPr>
      <w:r>
        <w:rPr>
          <w:rFonts w:ascii="Arial" w:hAnsi="Arial" w:cs="Arial"/>
          <w:color w:val="000000"/>
          <w:sz w:val="24"/>
          <w:szCs w:val="24"/>
          <w:shd w:val="clear" w:color="auto" w:fill="F9F9F9"/>
        </w:rPr>
        <w:t>In other words, the Judite families settled in practice throughout the generations in Zorah and Eshtaol.</w:t>
      </w:r>
    </w:p>
    <w:p w:rsidR="00233455" w:rsidRDefault="00233455" w:rsidP="00F6685D">
      <w:pPr>
        <w:spacing w:after="0" w:line="240" w:lineRule="auto"/>
        <w:jc w:val="both"/>
        <w:outlineLvl w:val="0"/>
        <w:rPr>
          <w:rFonts w:ascii="Arial" w:hAnsi="Arial" w:cs="Arial"/>
          <w:color w:val="000000"/>
          <w:sz w:val="24"/>
          <w:szCs w:val="24"/>
          <w:shd w:val="clear" w:color="auto" w:fill="F9F9F9"/>
        </w:rPr>
      </w:pPr>
    </w:p>
    <w:p w:rsidR="00233455" w:rsidRDefault="00233455" w:rsidP="00F6685D">
      <w:pPr>
        <w:spacing w:after="0" w:line="240" w:lineRule="auto"/>
        <w:jc w:val="both"/>
        <w:outlineLvl w:val="0"/>
        <w:rPr>
          <w:rFonts w:asciiTheme="minorBidi" w:hAnsiTheme="minorBidi"/>
          <w:sz w:val="24"/>
          <w:szCs w:val="24"/>
        </w:rPr>
      </w:pPr>
      <w:r>
        <w:rPr>
          <w:rFonts w:asciiTheme="minorBidi" w:hAnsiTheme="minorBidi"/>
          <w:b/>
          <w:bCs/>
          <w:sz w:val="24"/>
          <w:szCs w:val="24"/>
        </w:rPr>
        <w:t xml:space="preserve">The </w:t>
      </w:r>
      <w:r w:rsidR="00504659">
        <w:rPr>
          <w:rFonts w:asciiTheme="minorBidi" w:hAnsiTheme="minorBidi"/>
          <w:b/>
          <w:bCs/>
          <w:sz w:val="24"/>
          <w:szCs w:val="24"/>
        </w:rPr>
        <w:t xml:space="preserve">Many Owners of </w:t>
      </w:r>
      <w:r>
        <w:rPr>
          <w:rFonts w:asciiTheme="minorBidi" w:hAnsiTheme="minorBidi"/>
          <w:b/>
          <w:bCs/>
          <w:sz w:val="24"/>
          <w:szCs w:val="24"/>
        </w:rPr>
        <w:t>Aijalon</w:t>
      </w:r>
    </w:p>
    <w:p w:rsidR="00233455" w:rsidRDefault="00233455" w:rsidP="00F6685D">
      <w:pPr>
        <w:spacing w:after="0" w:line="240" w:lineRule="auto"/>
        <w:jc w:val="both"/>
        <w:outlineLvl w:val="0"/>
        <w:rPr>
          <w:rFonts w:asciiTheme="minorBidi" w:hAnsiTheme="minorBidi"/>
          <w:sz w:val="24"/>
          <w:szCs w:val="24"/>
        </w:rPr>
      </w:pPr>
    </w:p>
    <w:p w:rsidR="00233455" w:rsidRDefault="00233455" w:rsidP="00F6685D">
      <w:pPr>
        <w:spacing w:after="0" w:line="240" w:lineRule="auto"/>
        <w:jc w:val="both"/>
        <w:outlineLvl w:val="0"/>
        <w:rPr>
          <w:rFonts w:asciiTheme="minorBidi" w:hAnsiTheme="minorBidi"/>
          <w:sz w:val="24"/>
          <w:szCs w:val="24"/>
        </w:rPr>
      </w:pPr>
      <w:r>
        <w:rPr>
          <w:rFonts w:asciiTheme="minorBidi" w:hAnsiTheme="minorBidi"/>
          <w:sz w:val="24"/>
          <w:szCs w:val="24"/>
        </w:rPr>
        <w:tab/>
        <w:t xml:space="preserve">Joshua 19:42 states that Aijalon was given to the tribe of </w:t>
      </w:r>
      <w:r w:rsidRPr="00233455">
        <w:rPr>
          <w:rFonts w:asciiTheme="minorBidi" w:hAnsiTheme="minorBidi"/>
          <w:b/>
          <w:bCs/>
          <w:sz w:val="24"/>
          <w:szCs w:val="24"/>
        </w:rPr>
        <w:t>Dan</w:t>
      </w:r>
      <w:r>
        <w:rPr>
          <w:rFonts w:asciiTheme="minorBidi" w:hAnsiTheme="minorBidi"/>
          <w:sz w:val="24"/>
          <w:szCs w:val="24"/>
        </w:rPr>
        <w:t xml:space="preserve">. Joshua 21:24 (and its parallel verse in I Chronicles 6:54) states that it was given to the </w:t>
      </w:r>
      <w:r>
        <w:rPr>
          <w:rFonts w:asciiTheme="minorBidi" w:hAnsiTheme="minorBidi"/>
          <w:b/>
          <w:bCs/>
          <w:sz w:val="24"/>
          <w:szCs w:val="24"/>
        </w:rPr>
        <w:t>Levites</w:t>
      </w:r>
      <w:r>
        <w:rPr>
          <w:rFonts w:asciiTheme="minorBidi" w:hAnsiTheme="minorBidi"/>
          <w:sz w:val="24"/>
          <w:szCs w:val="24"/>
        </w:rPr>
        <w:t xml:space="preserve">. Judges 1:35 states that </w:t>
      </w:r>
      <w:r w:rsidR="00BD167C">
        <w:rPr>
          <w:rFonts w:asciiTheme="minorBidi" w:hAnsiTheme="minorBidi"/>
          <w:sz w:val="24"/>
          <w:szCs w:val="24"/>
        </w:rPr>
        <w:t xml:space="preserve">the </w:t>
      </w:r>
      <w:r w:rsidR="00BD167C">
        <w:rPr>
          <w:rFonts w:asciiTheme="minorBidi" w:hAnsiTheme="minorBidi"/>
          <w:b/>
          <w:bCs/>
          <w:sz w:val="24"/>
          <w:szCs w:val="24"/>
        </w:rPr>
        <w:t>Amorites</w:t>
      </w:r>
      <w:r w:rsidR="00BD167C">
        <w:rPr>
          <w:rFonts w:asciiTheme="minorBidi" w:hAnsiTheme="minorBidi"/>
          <w:sz w:val="24"/>
          <w:szCs w:val="24"/>
        </w:rPr>
        <w:t xml:space="preserve"> seized Aijalon and settled it, until the </w:t>
      </w:r>
      <w:r w:rsidR="00BD167C" w:rsidRPr="00BD167C">
        <w:rPr>
          <w:rFonts w:asciiTheme="minorBidi" w:hAnsiTheme="minorBidi"/>
          <w:b/>
          <w:bCs/>
          <w:sz w:val="24"/>
          <w:szCs w:val="24"/>
        </w:rPr>
        <w:t>House of Joseph</w:t>
      </w:r>
      <w:r w:rsidR="00BD167C">
        <w:rPr>
          <w:rFonts w:asciiTheme="minorBidi" w:hAnsiTheme="minorBidi"/>
          <w:sz w:val="24"/>
          <w:szCs w:val="24"/>
        </w:rPr>
        <w:t xml:space="preserve"> got involved: “But the hand of the House of Joseph bore heavily on them and they had to perform forced labor.” To complicate matters further, I Chronicles 8:13 speaks of the Benjaminites Beriah and Shema – “chiefs of clans of the inhabitants of Aijalon, who put to flight the inhabitants of Gath.”</w:t>
      </w:r>
      <w:r w:rsidR="00504659">
        <w:rPr>
          <w:rStyle w:val="FootnoteReference"/>
          <w:rFonts w:asciiTheme="minorBidi" w:hAnsiTheme="minorBidi"/>
          <w:sz w:val="24"/>
          <w:szCs w:val="24"/>
        </w:rPr>
        <w:footnoteReference w:id="11"/>
      </w:r>
      <w:r w:rsidR="00BD167C">
        <w:rPr>
          <w:rFonts w:asciiTheme="minorBidi" w:hAnsiTheme="minorBidi"/>
          <w:sz w:val="24"/>
          <w:szCs w:val="24"/>
        </w:rPr>
        <w:t xml:space="preserve"> </w:t>
      </w:r>
      <w:r w:rsidR="00504659">
        <w:rPr>
          <w:rFonts w:asciiTheme="minorBidi" w:hAnsiTheme="minorBidi"/>
          <w:sz w:val="24"/>
          <w:szCs w:val="24"/>
        </w:rPr>
        <w:t xml:space="preserve">That the city was given to Dan and then </w:t>
      </w:r>
      <w:r w:rsidR="0004021C">
        <w:rPr>
          <w:rFonts w:asciiTheme="minorBidi" w:hAnsiTheme="minorBidi"/>
          <w:sz w:val="24"/>
          <w:szCs w:val="24"/>
        </w:rPr>
        <w:t xml:space="preserve">devoted </w:t>
      </w:r>
      <w:r w:rsidR="00504659">
        <w:rPr>
          <w:rFonts w:asciiTheme="minorBidi" w:hAnsiTheme="minorBidi"/>
          <w:sz w:val="24"/>
          <w:szCs w:val="24"/>
        </w:rPr>
        <w:t>to the Levites is a normal phenomenon. (</w:t>
      </w:r>
      <w:r w:rsidR="0004021C">
        <w:rPr>
          <w:rFonts w:asciiTheme="minorBidi" w:hAnsiTheme="minorBidi"/>
          <w:sz w:val="24"/>
          <w:szCs w:val="24"/>
        </w:rPr>
        <w:t>The explanation for this is ap</w:t>
      </w:r>
      <w:r w:rsidR="00926DB9">
        <w:rPr>
          <w:rFonts w:asciiTheme="minorBidi" w:hAnsiTheme="minorBidi"/>
          <w:sz w:val="24"/>
          <w:szCs w:val="24"/>
        </w:rPr>
        <w:t>pa</w:t>
      </w:r>
      <w:r w:rsidR="0004021C">
        <w:rPr>
          <w:rFonts w:asciiTheme="minorBidi" w:hAnsiTheme="minorBidi"/>
          <w:sz w:val="24"/>
          <w:szCs w:val="24"/>
        </w:rPr>
        <w:t>rently</w:t>
      </w:r>
      <w:r w:rsidR="00504659">
        <w:rPr>
          <w:rFonts w:asciiTheme="minorBidi" w:hAnsiTheme="minorBidi"/>
          <w:sz w:val="24"/>
          <w:szCs w:val="24"/>
        </w:rPr>
        <w:t xml:space="preserve"> that generally the fields and farmlands – the prime sections of the territory – remained under the possession of the tribe, while the Levites only received resi</w:t>
      </w:r>
      <w:r w:rsidR="000E0635">
        <w:rPr>
          <w:rFonts w:asciiTheme="minorBidi" w:hAnsiTheme="minorBidi"/>
          <w:sz w:val="24"/>
          <w:szCs w:val="24"/>
        </w:rPr>
        <w:t>dences</w:t>
      </w:r>
      <w:r w:rsidR="00504659">
        <w:rPr>
          <w:rFonts w:asciiTheme="minorBidi" w:hAnsiTheme="minorBidi"/>
          <w:sz w:val="24"/>
          <w:szCs w:val="24"/>
        </w:rPr>
        <w:t xml:space="preserve"> </w:t>
      </w:r>
      <w:r w:rsidR="000E0635">
        <w:rPr>
          <w:rFonts w:asciiTheme="minorBidi" w:hAnsiTheme="minorBidi"/>
          <w:sz w:val="24"/>
          <w:szCs w:val="24"/>
        </w:rPr>
        <w:t xml:space="preserve">for them and their families, as well as space for their cattle and other property.) However, the fact that the city changed hands so many times </w:t>
      </w:r>
      <w:r w:rsidR="00926DB9">
        <w:rPr>
          <w:rFonts w:asciiTheme="minorBidi" w:hAnsiTheme="minorBidi"/>
          <w:sz w:val="24"/>
          <w:szCs w:val="24"/>
        </w:rPr>
        <w:t>indicates</w:t>
      </w:r>
      <w:r w:rsidR="000E0635">
        <w:rPr>
          <w:rFonts w:asciiTheme="minorBidi" w:hAnsiTheme="minorBidi"/>
          <w:sz w:val="24"/>
          <w:szCs w:val="24"/>
        </w:rPr>
        <w:t xml:space="preserve"> that Aijalon was located in a kind of “Wild West” in which the most powerful group at </w:t>
      </w:r>
      <w:r w:rsidR="0054065B">
        <w:rPr>
          <w:rFonts w:asciiTheme="minorBidi" w:hAnsiTheme="minorBidi"/>
          <w:sz w:val="24"/>
          <w:szCs w:val="24"/>
        </w:rPr>
        <w:t>a</w:t>
      </w:r>
      <w:r w:rsidR="000E0635">
        <w:rPr>
          <w:rFonts w:asciiTheme="minorBidi" w:hAnsiTheme="minorBidi"/>
          <w:sz w:val="24"/>
          <w:szCs w:val="24"/>
        </w:rPr>
        <w:t xml:space="preserve"> given time</w:t>
      </w:r>
      <w:r w:rsidR="0054065B">
        <w:rPr>
          <w:rFonts w:asciiTheme="minorBidi" w:hAnsiTheme="minorBidi"/>
          <w:sz w:val="24"/>
          <w:szCs w:val="24"/>
        </w:rPr>
        <w:t xml:space="preserve"> would take control</w:t>
      </w:r>
      <w:r w:rsidR="000E0635">
        <w:rPr>
          <w:rFonts w:asciiTheme="minorBidi" w:hAnsiTheme="minorBidi"/>
          <w:sz w:val="24"/>
          <w:szCs w:val="24"/>
        </w:rPr>
        <w:t>.</w:t>
      </w:r>
    </w:p>
    <w:p w:rsidR="00FE40CD" w:rsidRDefault="00FE40CD" w:rsidP="00F6685D">
      <w:pPr>
        <w:spacing w:after="0" w:line="240" w:lineRule="auto"/>
        <w:jc w:val="both"/>
        <w:outlineLvl w:val="0"/>
        <w:rPr>
          <w:rFonts w:asciiTheme="minorBidi" w:hAnsiTheme="minorBidi"/>
          <w:sz w:val="24"/>
          <w:szCs w:val="24"/>
        </w:rPr>
      </w:pPr>
    </w:p>
    <w:p w:rsidR="00E30975" w:rsidRDefault="00E30975" w:rsidP="00F6685D">
      <w:pPr>
        <w:keepNext/>
        <w:spacing w:after="0" w:line="240" w:lineRule="auto"/>
        <w:jc w:val="center"/>
        <w:outlineLvl w:val="0"/>
      </w:pPr>
      <w:r>
        <w:rPr>
          <w:rFonts w:asciiTheme="minorBidi" w:hAnsiTheme="minorBidi"/>
          <w:noProof/>
          <w:sz w:val="24"/>
          <w:szCs w:val="24"/>
        </w:rPr>
        <w:lastRenderedPageBreak/>
        <w:drawing>
          <wp:inline distT="0" distB="0" distL="0" distR="0" wp14:anchorId="619AB010" wp14:editId="06614CA7">
            <wp:extent cx="4807392" cy="3605689"/>
            <wp:effectExtent l="19050" t="0" r="0" b="0"/>
            <wp:docPr id="6" name="Picture 5" descr="AYALON 11.12.09 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YALON 11.12.09 109.jpg"/>
                    <pic:cNvPicPr/>
                  </pic:nvPicPr>
                  <pic:blipFill>
                    <a:blip r:embed="rId13" cstate="print"/>
                    <a:stretch>
                      <a:fillRect/>
                    </a:stretch>
                  </pic:blipFill>
                  <pic:spPr>
                    <a:xfrm>
                      <a:off x="0" y="0"/>
                      <a:ext cx="4807694" cy="3605915"/>
                    </a:xfrm>
                    <a:prstGeom prst="rect">
                      <a:avLst/>
                    </a:prstGeom>
                  </pic:spPr>
                </pic:pic>
              </a:graphicData>
            </a:graphic>
          </wp:inline>
        </w:drawing>
      </w:r>
    </w:p>
    <w:p w:rsidR="00E30975" w:rsidRPr="00686646" w:rsidRDefault="00E30975" w:rsidP="00F6685D">
      <w:pPr>
        <w:pStyle w:val="Caption"/>
        <w:spacing w:after="0"/>
        <w:jc w:val="center"/>
        <w:rPr>
          <w:rFonts w:asciiTheme="minorBidi" w:hAnsiTheme="minorBidi"/>
          <w:sz w:val="20"/>
          <w:szCs w:val="20"/>
        </w:rPr>
      </w:pPr>
      <w:r>
        <w:rPr>
          <w:rFonts w:asciiTheme="minorBidi" w:hAnsiTheme="minorBidi"/>
          <w:b w:val="0"/>
          <w:bCs w:val="0"/>
          <w:color w:val="auto"/>
          <w:sz w:val="20"/>
          <w:szCs w:val="20"/>
        </w:rPr>
        <w:t>Yalu, the site of Aijalon. The raised area on the top of the hill was a fortress overlooking the ancient city (Courtesy of Dr. Zev Rothkoff).</w:t>
      </w:r>
    </w:p>
    <w:p w:rsidR="00E30975" w:rsidRDefault="00E30975" w:rsidP="00F6685D">
      <w:pPr>
        <w:spacing w:after="0" w:line="240" w:lineRule="auto"/>
        <w:jc w:val="center"/>
        <w:outlineLvl w:val="0"/>
        <w:rPr>
          <w:rFonts w:asciiTheme="minorBidi" w:hAnsiTheme="minorBidi"/>
          <w:sz w:val="24"/>
          <w:szCs w:val="24"/>
        </w:rPr>
      </w:pPr>
    </w:p>
    <w:p w:rsidR="00FE40CD" w:rsidRDefault="00FE40CD" w:rsidP="00F6685D">
      <w:pPr>
        <w:spacing w:after="0" w:line="240" w:lineRule="auto"/>
        <w:jc w:val="both"/>
        <w:outlineLvl w:val="0"/>
        <w:rPr>
          <w:rFonts w:asciiTheme="minorBidi" w:hAnsiTheme="minorBidi"/>
          <w:sz w:val="24"/>
          <w:szCs w:val="24"/>
        </w:rPr>
      </w:pPr>
      <w:r>
        <w:rPr>
          <w:rFonts w:asciiTheme="minorBidi" w:hAnsiTheme="minorBidi"/>
          <w:sz w:val="24"/>
          <w:szCs w:val="24"/>
        </w:rPr>
        <w:tab/>
        <w:t xml:space="preserve">It seems that this collection of information illustrates well the weakness of the tribe of Dan, of whom the </w:t>
      </w:r>
      <w:r>
        <w:rPr>
          <w:rFonts w:asciiTheme="minorBidi" w:hAnsiTheme="minorBidi"/>
          <w:i/>
          <w:iCs/>
          <w:sz w:val="24"/>
          <w:szCs w:val="24"/>
        </w:rPr>
        <w:t>Tanakh</w:t>
      </w:r>
      <w:r>
        <w:rPr>
          <w:rFonts w:asciiTheme="minorBidi" w:hAnsiTheme="minorBidi"/>
          <w:sz w:val="24"/>
          <w:szCs w:val="24"/>
        </w:rPr>
        <w:t xml:space="preserve"> states: “But the territory of the Danites slipped from their grasp” (Joshua 19:47); and “The Amorites pressed the Danites into the hill country; they would not let them come down to the plain” (Judges 1:34).</w:t>
      </w:r>
    </w:p>
    <w:p w:rsidR="00FE40CD" w:rsidRDefault="00FE40CD" w:rsidP="00F6685D">
      <w:pPr>
        <w:spacing w:after="0" w:line="240" w:lineRule="auto"/>
        <w:jc w:val="both"/>
        <w:outlineLvl w:val="0"/>
        <w:rPr>
          <w:rFonts w:asciiTheme="minorBidi" w:hAnsiTheme="minorBidi"/>
          <w:sz w:val="24"/>
          <w:szCs w:val="24"/>
        </w:rPr>
      </w:pPr>
    </w:p>
    <w:p w:rsidR="00FE40CD" w:rsidRDefault="005F605F" w:rsidP="00F6685D">
      <w:pPr>
        <w:spacing w:after="0" w:line="240" w:lineRule="auto"/>
        <w:jc w:val="both"/>
        <w:outlineLvl w:val="0"/>
        <w:rPr>
          <w:rFonts w:asciiTheme="minorBidi" w:hAnsiTheme="minorBidi"/>
          <w:sz w:val="24"/>
          <w:szCs w:val="24"/>
        </w:rPr>
      </w:pPr>
      <w:r>
        <w:rPr>
          <w:rFonts w:asciiTheme="minorBidi" w:hAnsiTheme="minorBidi"/>
          <w:sz w:val="24"/>
          <w:szCs w:val="24"/>
        </w:rPr>
        <w:tab/>
        <w:t xml:space="preserve">However, Judges 18:1 presents a picture that hints at the fact that the problem had already begun from the time of the apportionment: “In those days the tribe of Dan was seeking a territory in which to settle; </w:t>
      </w:r>
      <w:r w:rsidRPr="005F605F">
        <w:rPr>
          <w:rFonts w:asciiTheme="minorBidi" w:hAnsiTheme="minorBidi"/>
          <w:b/>
          <w:bCs/>
          <w:sz w:val="24"/>
          <w:szCs w:val="24"/>
        </w:rPr>
        <w:t>for to that day no territory had fallen to their lot among the tribes of Israel</w:t>
      </w:r>
      <w:r>
        <w:rPr>
          <w:rFonts w:asciiTheme="minorBidi" w:hAnsiTheme="minorBidi"/>
          <w:sz w:val="24"/>
          <w:szCs w:val="24"/>
        </w:rPr>
        <w:t xml:space="preserve">.” In light of this, </w:t>
      </w:r>
      <w:r w:rsidR="00926DB9">
        <w:rPr>
          <w:rFonts w:asciiTheme="minorBidi" w:hAnsiTheme="minorBidi"/>
          <w:sz w:val="24"/>
          <w:szCs w:val="24"/>
        </w:rPr>
        <w:t>let us</w:t>
      </w:r>
      <w:r>
        <w:rPr>
          <w:rFonts w:asciiTheme="minorBidi" w:hAnsiTheme="minorBidi"/>
          <w:sz w:val="24"/>
          <w:szCs w:val="24"/>
        </w:rPr>
        <w:t xml:space="preserve"> examine the </w:t>
      </w:r>
      <w:r w:rsidR="00926DB9">
        <w:rPr>
          <w:rFonts w:asciiTheme="minorBidi" w:hAnsiTheme="minorBidi"/>
          <w:sz w:val="24"/>
          <w:szCs w:val="24"/>
        </w:rPr>
        <w:t>Biblical description of the allotment of</w:t>
      </w:r>
      <w:r>
        <w:rPr>
          <w:rFonts w:asciiTheme="minorBidi" w:hAnsiTheme="minorBidi"/>
          <w:sz w:val="24"/>
          <w:szCs w:val="24"/>
        </w:rPr>
        <w:t xml:space="preserve"> the tribe of Dan.</w:t>
      </w:r>
    </w:p>
    <w:p w:rsidR="005F605F" w:rsidRDefault="005F605F" w:rsidP="00F6685D">
      <w:pPr>
        <w:spacing w:after="0" w:line="240" w:lineRule="auto"/>
        <w:jc w:val="both"/>
        <w:outlineLvl w:val="0"/>
        <w:rPr>
          <w:rFonts w:asciiTheme="minorBidi" w:hAnsiTheme="minorBidi"/>
          <w:sz w:val="24"/>
          <w:szCs w:val="24"/>
        </w:rPr>
      </w:pPr>
    </w:p>
    <w:p w:rsidR="005F605F" w:rsidRDefault="005F605F" w:rsidP="00F6685D">
      <w:pPr>
        <w:spacing w:after="0" w:line="240" w:lineRule="auto"/>
        <w:jc w:val="both"/>
        <w:outlineLvl w:val="0"/>
        <w:rPr>
          <w:rFonts w:asciiTheme="minorBidi" w:hAnsiTheme="minorBidi"/>
          <w:sz w:val="24"/>
          <w:szCs w:val="24"/>
        </w:rPr>
      </w:pPr>
      <w:r>
        <w:rPr>
          <w:rFonts w:asciiTheme="minorBidi" w:hAnsiTheme="minorBidi"/>
          <w:sz w:val="24"/>
          <w:szCs w:val="24"/>
        </w:rPr>
        <w:tab/>
        <w:t xml:space="preserve">Here we must preface this discussion by stating that by taking </w:t>
      </w:r>
      <w:r w:rsidR="0076775D">
        <w:rPr>
          <w:rFonts w:asciiTheme="minorBidi" w:hAnsiTheme="minorBidi"/>
          <w:sz w:val="24"/>
          <w:szCs w:val="24"/>
        </w:rPr>
        <w:t xml:space="preserve">a </w:t>
      </w:r>
      <w:r>
        <w:rPr>
          <w:rFonts w:asciiTheme="minorBidi" w:hAnsiTheme="minorBidi"/>
          <w:sz w:val="24"/>
          <w:szCs w:val="24"/>
        </w:rPr>
        <w:t xml:space="preserve">simple </w:t>
      </w:r>
      <w:r w:rsidR="0076775D">
        <w:rPr>
          <w:rFonts w:asciiTheme="minorBidi" w:hAnsiTheme="minorBidi"/>
          <w:sz w:val="24"/>
          <w:szCs w:val="24"/>
        </w:rPr>
        <w:t xml:space="preserve">step, one that begs to be taken: to read the allotment chapters in Joshua exactly as they are written; to attempt to identify the places mentioned in the verses based on Biblical and extrabiblical parallels and on the facts on the ground; and to try to understand the background and historical circumstances behind what is described in the </w:t>
      </w:r>
      <w:r w:rsidR="0076775D">
        <w:rPr>
          <w:rFonts w:asciiTheme="minorBidi" w:hAnsiTheme="minorBidi"/>
          <w:i/>
          <w:iCs/>
          <w:sz w:val="24"/>
          <w:szCs w:val="24"/>
        </w:rPr>
        <w:t>Tanakh</w:t>
      </w:r>
      <w:r w:rsidR="0076775D">
        <w:rPr>
          <w:rFonts w:asciiTheme="minorBidi" w:hAnsiTheme="minorBidi"/>
          <w:sz w:val="24"/>
          <w:szCs w:val="24"/>
        </w:rPr>
        <w:t xml:space="preserve">. This is a lonely task, as the classical commentators were not familiar with the land or with the extrabiblical sources, and many of the God-fearing </w:t>
      </w:r>
      <w:r w:rsidR="00926DB9">
        <w:rPr>
          <w:rFonts w:asciiTheme="minorBidi" w:hAnsiTheme="minorBidi"/>
          <w:sz w:val="24"/>
          <w:szCs w:val="24"/>
        </w:rPr>
        <w:t xml:space="preserve">students </w:t>
      </w:r>
      <w:r w:rsidR="0076775D">
        <w:rPr>
          <w:rFonts w:asciiTheme="minorBidi" w:hAnsiTheme="minorBidi"/>
          <w:sz w:val="24"/>
          <w:szCs w:val="24"/>
        </w:rPr>
        <w:t xml:space="preserve">today who take interest in these matters believe that they should not pursue information or sources that were beyond the purview of the classical commentators. On the other hand, most of the scholars who study Biblical geography and history do not pay attention to what the </w:t>
      </w:r>
      <w:r w:rsidR="0076775D">
        <w:rPr>
          <w:rFonts w:asciiTheme="minorBidi" w:hAnsiTheme="minorBidi"/>
          <w:i/>
          <w:iCs/>
          <w:sz w:val="24"/>
          <w:szCs w:val="24"/>
        </w:rPr>
        <w:t>Tanakh</w:t>
      </w:r>
      <w:r w:rsidR="0076775D">
        <w:rPr>
          <w:rFonts w:asciiTheme="minorBidi" w:hAnsiTheme="minorBidi"/>
          <w:sz w:val="24"/>
          <w:szCs w:val="24"/>
        </w:rPr>
        <w:t xml:space="preserve"> says about itself. </w:t>
      </w:r>
      <w:r w:rsidR="00B50D8D">
        <w:rPr>
          <w:rFonts w:asciiTheme="minorBidi" w:hAnsiTheme="minorBidi"/>
          <w:sz w:val="24"/>
          <w:szCs w:val="24"/>
        </w:rPr>
        <w:t xml:space="preserve">They date the Biblical text centuries later and raise dozens of different historical theories regarding when each list was written and the “agendas” behind each one. </w:t>
      </w:r>
      <w:r w:rsidR="00130FA2">
        <w:rPr>
          <w:rFonts w:asciiTheme="minorBidi" w:hAnsiTheme="minorBidi"/>
          <w:sz w:val="24"/>
          <w:szCs w:val="24"/>
        </w:rPr>
        <w:t xml:space="preserve">We will take the minority approach here: We will read the </w:t>
      </w:r>
      <w:r w:rsidR="00130FA2">
        <w:rPr>
          <w:rFonts w:asciiTheme="minorBidi" w:hAnsiTheme="minorBidi"/>
          <w:i/>
          <w:iCs/>
          <w:sz w:val="24"/>
          <w:szCs w:val="24"/>
        </w:rPr>
        <w:t>Tanakh</w:t>
      </w:r>
      <w:r w:rsidR="00130FA2">
        <w:rPr>
          <w:rFonts w:asciiTheme="minorBidi" w:hAnsiTheme="minorBidi"/>
          <w:sz w:val="24"/>
          <w:szCs w:val="24"/>
        </w:rPr>
        <w:t xml:space="preserve"> as it is written and attempt to </w:t>
      </w:r>
      <w:r w:rsidR="00130FA2">
        <w:rPr>
          <w:rFonts w:asciiTheme="minorBidi" w:hAnsiTheme="minorBidi"/>
          <w:sz w:val="24"/>
          <w:szCs w:val="24"/>
        </w:rPr>
        <w:lastRenderedPageBreak/>
        <w:t>understand what exactly it is saying, with the help of all the historical, geographical, archaeological and linguistic tools available to us.</w:t>
      </w:r>
    </w:p>
    <w:p w:rsidR="00FD75DE" w:rsidRDefault="00FD75DE" w:rsidP="00F6685D">
      <w:pPr>
        <w:spacing w:after="0" w:line="240" w:lineRule="auto"/>
        <w:jc w:val="both"/>
        <w:outlineLvl w:val="0"/>
        <w:rPr>
          <w:rFonts w:asciiTheme="minorBidi" w:hAnsiTheme="minorBidi"/>
          <w:sz w:val="24"/>
          <w:szCs w:val="24"/>
        </w:rPr>
      </w:pPr>
    </w:p>
    <w:p w:rsidR="00FD75DE" w:rsidRDefault="00FD75DE" w:rsidP="00F6685D">
      <w:pPr>
        <w:spacing w:after="0" w:line="240" w:lineRule="auto"/>
        <w:jc w:val="both"/>
        <w:outlineLvl w:val="0"/>
        <w:rPr>
          <w:rFonts w:asciiTheme="minorBidi" w:hAnsiTheme="minorBidi"/>
          <w:sz w:val="24"/>
          <w:szCs w:val="24"/>
        </w:rPr>
      </w:pPr>
      <w:r>
        <w:rPr>
          <w:rFonts w:asciiTheme="minorBidi" w:hAnsiTheme="minorBidi"/>
          <w:b/>
          <w:bCs/>
          <w:sz w:val="24"/>
          <w:szCs w:val="24"/>
        </w:rPr>
        <w:t>The Territory of Dan</w:t>
      </w:r>
    </w:p>
    <w:p w:rsidR="00FD75DE" w:rsidRDefault="00FD75DE" w:rsidP="00F6685D">
      <w:pPr>
        <w:spacing w:after="0" w:line="240" w:lineRule="auto"/>
        <w:jc w:val="both"/>
        <w:outlineLvl w:val="0"/>
        <w:rPr>
          <w:rFonts w:asciiTheme="minorBidi" w:hAnsiTheme="minorBidi"/>
          <w:sz w:val="24"/>
          <w:szCs w:val="24"/>
        </w:rPr>
      </w:pPr>
    </w:p>
    <w:p w:rsidR="00FD75DE" w:rsidRDefault="00FD75DE" w:rsidP="00F6685D">
      <w:pPr>
        <w:spacing w:after="0" w:line="240" w:lineRule="auto"/>
        <w:jc w:val="both"/>
        <w:outlineLvl w:val="0"/>
        <w:rPr>
          <w:rFonts w:asciiTheme="minorBidi" w:hAnsiTheme="minorBidi"/>
          <w:sz w:val="24"/>
          <w:szCs w:val="24"/>
        </w:rPr>
      </w:pPr>
      <w:r>
        <w:rPr>
          <w:rFonts w:asciiTheme="minorBidi" w:hAnsiTheme="minorBidi"/>
          <w:sz w:val="24"/>
          <w:szCs w:val="24"/>
        </w:rPr>
        <w:tab/>
        <w:t>The territory of Dan is described last among the tribal territories in Joshua 19:40-48:</w:t>
      </w:r>
    </w:p>
    <w:p w:rsidR="00FD75DE" w:rsidRDefault="00FD75DE" w:rsidP="00F6685D">
      <w:pPr>
        <w:spacing w:after="0" w:line="240" w:lineRule="auto"/>
        <w:jc w:val="both"/>
        <w:outlineLvl w:val="0"/>
        <w:rPr>
          <w:rFonts w:asciiTheme="minorBidi" w:hAnsiTheme="minorBidi"/>
          <w:sz w:val="24"/>
          <w:szCs w:val="24"/>
        </w:rPr>
      </w:pPr>
    </w:p>
    <w:p w:rsidR="00FD75DE" w:rsidRDefault="00FD75DE" w:rsidP="00F6685D">
      <w:pPr>
        <w:spacing w:after="0" w:line="240" w:lineRule="auto"/>
        <w:ind w:left="720"/>
        <w:jc w:val="both"/>
        <w:outlineLvl w:val="0"/>
        <w:rPr>
          <w:rFonts w:asciiTheme="minorBidi" w:hAnsiTheme="minorBidi"/>
          <w:sz w:val="24"/>
          <w:szCs w:val="24"/>
        </w:rPr>
      </w:pPr>
      <w:r>
        <w:rPr>
          <w:rFonts w:asciiTheme="minorBidi" w:hAnsiTheme="minorBidi"/>
          <w:sz w:val="24"/>
          <w:szCs w:val="24"/>
        </w:rPr>
        <w:t>The seventh lot fell to the tribe of the Danites, by their clans. Their allotted territory comprised: Zorah, Eshtaol, Ir-shemesh, Shaalabbin, Aijalon, Ithlah, Elon, Timnah, Ekron, Eltekeh, Gibbethon, Baalath, Jehud, Bene-berak, Gath-rimmon, Me-jarkon and Rakkon, at the border near Joppa. But the territory of the Danites slipped from their grasp. So the Danites migrated and made war on Leshem. They captured it and put it to the sword; they took possession of it and settled in it. And they changed the name of Leshem to Dan, after their ancestor Dan. That was the portion of the tribe of the Danites, by their clans – those cities, with their villages.</w:t>
      </w:r>
    </w:p>
    <w:p w:rsidR="00FD75DE" w:rsidRDefault="00FD75DE" w:rsidP="00F6685D">
      <w:pPr>
        <w:spacing w:after="0" w:line="240" w:lineRule="auto"/>
        <w:jc w:val="both"/>
        <w:outlineLvl w:val="0"/>
        <w:rPr>
          <w:rFonts w:asciiTheme="minorBidi" w:hAnsiTheme="minorBidi"/>
          <w:sz w:val="24"/>
          <w:szCs w:val="24"/>
        </w:rPr>
      </w:pPr>
    </w:p>
    <w:p w:rsidR="00FD75DE" w:rsidRDefault="006A278E" w:rsidP="00F6685D">
      <w:pPr>
        <w:spacing w:after="0" w:line="240" w:lineRule="auto"/>
        <w:jc w:val="both"/>
        <w:outlineLvl w:val="0"/>
        <w:rPr>
          <w:rFonts w:asciiTheme="minorBidi" w:hAnsiTheme="minorBidi"/>
          <w:sz w:val="24"/>
          <w:szCs w:val="24"/>
        </w:rPr>
      </w:pPr>
      <w:r>
        <w:rPr>
          <w:rFonts w:asciiTheme="minorBidi" w:hAnsiTheme="minorBidi"/>
          <w:sz w:val="24"/>
          <w:szCs w:val="24"/>
        </w:rPr>
        <w:t>Amo</w:t>
      </w:r>
      <w:r w:rsidR="00FD75DE">
        <w:rPr>
          <w:rFonts w:asciiTheme="minorBidi" w:hAnsiTheme="minorBidi"/>
          <w:sz w:val="24"/>
          <w:szCs w:val="24"/>
        </w:rPr>
        <w:t>n</w:t>
      </w:r>
      <w:r>
        <w:rPr>
          <w:rFonts w:asciiTheme="minorBidi" w:hAnsiTheme="minorBidi"/>
          <w:sz w:val="24"/>
          <w:szCs w:val="24"/>
        </w:rPr>
        <w:t>g</w:t>
      </w:r>
      <w:r w:rsidR="00FD75DE">
        <w:rPr>
          <w:rFonts w:asciiTheme="minorBidi" w:hAnsiTheme="minorBidi"/>
          <w:sz w:val="24"/>
          <w:szCs w:val="24"/>
        </w:rPr>
        <w:t xml:space="preserve"> the descriptions of the tribal territories</w:t>
      </w:r>
      <w:r>
        <w:rPr>
          <w:rFonts w:asciiTheme="minorBidi" w:hAnsiTheme="minorBidi"/>
          <w:sz w:val="24"/>
          <w:szCs w:val="24"/>
        </w:rPr>
        <w:t xml:space="preserve"> there are </w:t>
      </w:r>
      <w:r w:rsidR="003058D5">
        <w:rPr>
          <w:rFonts w:asciiTheme="minorBidi" w:hAnsiTheme="minorBidi"/>
          <w:sz w:val="24"/>
          <w:szCs w:val="24"/>
        </w:rPr>
        <w:t xml:space="preserve">several </w:t>
      </w:r>
      <w:r>
        <w:rPr>
          <w:rFonts w:asciiTheme="minorBidi" w:hAnsiTheme="minorBidi"/>
          <w:sz w:val="24"/>
          <w:szCs w:val="24"/>
        </w:rPr>
        <w:t xml:space="preserve">models. The territories of Judah and Benjamin are the most orderly; the </w:t>
      </w:r>
      <w:r>
        <w:rPr>
          <w:rFonts w:asciiTheme="minorBidi" w:hAnsiTheme="minorBidi"/>
          <w:i/>
          <w:iCs/>
          <w:sz w:val="24"/>
          <w:szCs w:val="24"/>
        </w:rPr>
        <w:t>Tanakh</w:t>
      </w:r>
      <w:r>
        <w:rPr>
          <w:rFonts w:asciiTheme="minorBidi" w:hAnsiTheme="minorBidi"/>
          <w:sz w:val="24"/>
          <w:szCs w:val="24"/>
        </w:rPr>
        <w:t xml:space="preserve"> describes the borderlines systematically at the four cardinal directions and then goes on to list the cities within the territories. In the description of the territories of Ephraim and Manasseh, the </w:t>
      </w:r>
      <w:r>
        <w:rPr>
          <w:rFonts w:asciiTheme="minorBidi" w:hAnsiTheme="minorBidi"/>
          <w:i/>
          <w:iCs/>
          <w:sz w:val="24"/>
          <w:szCs w:val="24"/>
        </w:rPr>
        <w:t>Tanakh</w:t>
      </w:r>
      <w:r>
        <w:rPr>
          <w:rFonts w:asciiTheme="minorBidi" w:hAnsiTheme="minorBidi"/>
          <w:sz w:val="24"/>
          <w:szCs w:val="24"/>
        </w:rPr>
        <w:t xml:space="preserve"> describes only </w:t>
      </w:r>
      <w:r w:rsidR="00D25C77">
        <w:rPr>
          <w:rFonts w:asciiTheme="minorBidi" w:hAnsiTheme="minorBidi"/>
          <w:sz w:val="24"/>
          <w:szCs w:val="24"/>
        </w:rPr>
        <w:t xml:space="preserve">partial </w:t>
      </w:r>
      <w:r>
        <w:rPr>
          <w:rFonts w:asciiTheme="minorBidi" w:hAnsiTheme="minorBidi"/>
          <w:sz w:val="24"/>
          <w:szCs w:val="24"/>
        </w:rPr>
        <w:t xml:space="preserve">segments of the outer borderlines, and there is no list of cities at all. For the other tribes, the descriptions </w:t>
      </w:r>
      <w:r w:rsidR="00D25C77">
        <w:rPr>
          <w:rFonts w:asciiTheme="minorBidi" w:hAnsiTheme="minorBidi"/>
          <w:sz w:val="24"/>
          <w:szCs w:val="24"/>
        </w:rPr>
        <w:t xml:space="preserve">feature </w:t>
      </w:r>
      <w:r>
        <w:rPr>
          <w:rFonts w:asciiTheme="minorBidi" w:hAnsiTheme="minorBidi"/>
          <w:sz w:val="24"/>
          <w:szCs w:val="24"/>
        </w:rPr>
        <w:t>some combination of borderline and territorial cities.</w:t>
      </w:r>
      <w:r>
        <w:rPr>
          <w:rStyle w:val="FootnoteReference"/>
          <w:rFonts w:asciiTheme="minorBidi" w:hAnsiTheme="minorBidi"/>
          <w:sz w:val="24"/>
          <w:szCs w:val="24"/>
        </w:rPr>
        <w:footnoteReference w:id="12"/>
      </w:r>
      <w:r>
        <w:rPr>
          <w:rFonts w:asciiTheme="minorBidi" w:hAnsiTheme="minorBidi"/>
          <w:sz w:val="24"/>
          <w:szCs w:val="24"/>
        </w:rPr>
        <w:t xml:space="preserve"> The description of the territory of </w:t>
      </w:r>
      <w:r w:rsidR="00E03B17">
        <w:rPr>
          <w:rFonts w:asciiTheme="minorBidi" w:hAnsiTheme="minorBidi"/>
          <w:sz w:val="24"/>
          <w:szCs w:val="24"/>
        </w:rPr>
        <w:t>D</w:t>
      </w:r>
      <w:r>
        <w:rPr>
          <w:rFonts w:asciiTheme="minorBidi" w:hAnsiTheme="minorBidi"/>
          <w:sz w:val="24"/>
          <w:szCs w:val="24"/>
        </w:rPr>
        <w:t xml:space="preserve">an </w:t>
      </w:r>
      <w:r w:rsidR="00E03B17">
        <w:rPr>
          <w:rFonts w:asciiTheme="minorBidi" w:hAnsiTheme="minorBidi"/>
          <w:sz w:val="24"/>
          <w:szCs w:val="24"/>
        </w:rPr>
        <w:t xml:space="preserve">does not include any borderline, but only a list of cities. Modern commentators and historical atlas writers have tried to map out the borders of the territory based on the enumerated cities, but they generally do not address the question why the </w:t>
      </w:r>
      <w:r w:rsidR="00E03B17">
        <w:rPr>
          <w:rFonts w:asciiTheme="minorBidi" w:hAnsiTheme="minorBidi"/>
          <w:i/>
          <w:iCs/>
          <w:sz w:val="24"/>
          <w:szCs w:val="24"/>
        </w:rPr>
        <w:t xml:space="preserve">Tanakh </w:t>
      </w:r>
      <w:r w:rsidR="00E03B17">
        <w:rPr>
          <w:rFonts w:asciiTheme="minorBidi" w:hAnsiTheme="minorBidi"/>
          <w:sz w:val="24"/>
          <w:szCs w:val="24"/>
        </w:rPr>
        <w:t>itself did not provide a description of the tribe’s borderline – or at least partially, as it does in the case of several other tribes.</w:t>
      </w:r>
    </w:p>
    <w:p w:rsidR="00E03B17" w:rsidRDefault="00E03B17" w:rsidP="00F6685D">
      <w:pPr>
        <w:spacing w:after="0" w:line="240" w:lineRule="auto"/>
        <w:jc w:val="both"/>
        <w:outlineLvl w:val="0"/>
        <w:rPr>
          <w:rFonts w:asciiTheme="minorBidi" w:hAnsiTheme="minorBidi"/>
          <w:sz w:val="24"/>
          <w:szCs w:val="24"/>
        </w:rPr>
      </w:pPr>
    </w:p>
    <w:p w:rsidR="00E03B17" w:rsidRDefault="00E03B17" w:rsidP="00F6685D">
      <w:pPr>
        <w:spacing w:after="0" w:line="240" w:lineRule="auto"/>
        <w:jc w:val="both"/>
        <w:outlineLvl w:val="0"/>
        <w:rPr>
          <w:rFonts w:asciiTheme="minorBidi" w:hAnsiTheme="minorBidi"/>
          <w:sz w:val="24"/>
          <w:szCs w:val="24"/>
        </w:rPr>
      </w:pPr>
      <w:r>
        <w:rPr>
          <w:rFonts w:asciiTheme="minorBidi" w:hAnsiTheme="minorBidi"/>
          <w:sz w:val="24"/>
          <w:szCs w:val="24"/>
        </w:rPr>
        <w:tab/>
        <w:t xml:space="preserve">A second question is why several important cities – situated between the southern line connecting Zorah, Eshtaol, Beth-shemesh, Timnah and Ekron and the northern line connecting Jehud and Bene-berak – are seemingly missing from the list. According to various sources and findings, these </w:t>
      </w:r>
      <w:r w:rsidR="005B09C7">
        <w:rPr>
          <w:rFonts w:asciiTheme="minorBidi" w:hAnsiTheme="minorBidi"/>
          <w:sz w:val="24"/>
          <w:szCs w:val="24"/>
        </w:rPr>
        <w:t xml:space="preserve">missing </w:t>
      </w:r>
      <w:r>
        <w:rPr>
          <w:rFonts w:asciiTheme="minorBidi" w:hAnsiTheme="minorBidi"/>
          <w:sz w:val="24"/>
          <w:szCs w:val="24"/>
        </w:rPr>
        <w:t xml:space="preserve">cities – which include Lod, Ono, Hadid, Gezer and Jabneh </w:t>
      </w:r>
      <w:r w:rsidR="005B09C7">
        <w:rPr>
          <w:rFonts w:asciiTheme="minorBidi" w:hAnsiTheme="minorBidi"/>
          <w:sz w:val="24"/>
          <w:szCs w:val="24"/>
        </w:rPr>
        <w:t>–</w:t>
      </w:r>
      <w:r>
        <w:rPr>
          <w:rFonts w:asciiTheme="minorBidi" w:hAnsiTheme="minorBidi"/>
          <w:sz w:val="24"/>
          <w:szCs w:val="24"/>
        </w:rPr>
        <w:t xml:space="preserve"> </w:t>
      </w:r>
      <w:r w:rsidR="005B09C7">
        <w:rPr>
          <w:rFonts w:asciiTheme="minorBidi" w:hAnsiTheme="minorBidi"/>
          <w:sz w:val="24"/>
          <w:szCs w:val="24"/>
        </w:rPr>
        <w:t>were central cities in the region at the time. Why, then, were they omitted?</w:t>
      </w:r>
    </w:p>
    <w:p w:rsidR="005B09C7" w:rsidRDefault="005B09C7" w:rsidP="00F6685D">
      <w:pPr>
        <w:spacing w:after="0" w:line="240" w:lineRule="auto"/>
        <w:jc w:val="both"/>
        <w:outlineLvl w:val="0"/>
        <w:rPr>
          <w:rFonts w:asciiTheme="minorBidi" w:hAnsiTheme="minorBidi"/>
          <w:sz w:val="24"/>
          <w:szCs w:val="24"/>
        </w:rPr>
      </w:pPr>
    </w:p>
    <w:p w:rsidR="005B09C7" w:rsidRDefault="005B09C7" w:rsidP="00F6685D">
      <w:pPr>
        <w:spacing w:after="0" w:line="240" w:lineRule="auto"/>
        <w:jc w:val="both"/>
        <w:outlineLvl w:val="0"/>
        <w:rPr>
          <w:rFonts w:asciiTheme="minorBidi" w:hAnsiTheme="minorBidi"/>
          <w:sz w:val="24"/>
          <w:szCs w:val="24"/>
        </w:rPr>
      </w:pPr>
      <w:r>
        <w:rPr>
          <w:rFonts w:asciiTheme="minorBidi" w:hAnsiTheme="minorBidi"/>
          <w:sz w:val="24"/>
          <w:szCs w:val="24"/>
        </w:rPr>
        <w:tab/>
        <w:t xml:space="preserve">One </w:t>
      </w:r>
      <w:r w:rsidR="00437607">
        <w:rPr>
          <w:rFonts w:asciiTheme="minorBidi" w:hAnsiTheme="minorBidi"/>
          <w:sz w:val="24"/>
          <w:szCs w:val="24"/>
        </w:rPr>
        <w:t xml:space="preserve">scholar </w:t>
      </w:r>
      <w:r>
        <w:rPr>
          <w:rFonts w:asciiTheme="minorBidi" w:hAnsiTheme="minorBidi"/>
          <w:sz w:val="24"/>
          <w:szCs w:val="24"/>
        </w:rPr>
        <w:t xml:space="preserve">who tried to answer these two questions was Aaron Demsky. His solution is that here too, the </w:t>
      </w:r>
      <w:r>
        <w:rPr>
          <w:rFonts w:asciiTheme="minorBidi" w:hAnsiTheme="minorBidi"/>
          <w:i/>
          <w:iCs/>
          <w:sz w:val="24"/>
          <w:szCs w:val="24"/>
        </w:rPr>
        <w:t>Tanakh</w:t>
      </w:r>
      <w:r>
        <w:rPr>
          <w:rFonts w:asciiTheme="minorBidi" w:hAnsiTheme="minorBidi"/>
          <w:sz w:val="24"/>
          <w:szCs w:val="24"/>
        </w:rPr>
        <w:t xml:space="preserve"> listed only the border cities of Dan, along Nahal Sorek in the south, the mountain slope line in the east, and Nahal Ayalon and the Yarkon in the north. According to Demsky, the list of cities is essentially a description of the borderline, though the text does not </w:t>
      </w:r>
      <w:r>
        <w:rPr>
          <w:rFonts w:asciiTheme="minorBidi" w:hAnsiTheme="minorBidi"/>
          <w:sz w:val="24"/>
          <w:szCs w:val="24"/>
        </w:rPr>
        <w:lastRenderedPageBreak/>
        <w:t xml:space="preserve">say so explicitly (see map). This suggestion does not solve our problem completely. Some of the cities on the list have not been identified, and their integration in the outer borderline is perhaps wishful thinking. </w:t>
      </w:r>
      <w:r w:rsidR="00BE4D0D">
        <w:rPr>
          <w:rFonts w:asciiTheme="minorBidi" w:hAnsiTheme="minorBidi"/>
          <w:sz w:val="24"/>
          <w:szCs w:val="24"/>
        </w:rPr>
        <w:t>The cities of Lod</w:t>
      </w:r>
      <w:r w:rsidR="00545D37">
        <w:rPr>
          <w:rFonts w:asciiTheme="minorBidi" w:hAnsiTheme="minorBidi"/>
          <w:sz w:val="24"/>
          <w:szCs w:val="24"/>
        </w:rPr>
        <w:t>,</w:t>
      </w:r>
      <w:r w:rsidR="00BE4D0D">
        <w:rPr>
          <w:rFonts w:asciiTheme="minorBidi" w:hAnsiTheme="minorBidi"/>
          <w:sz w:val="24"/>
          <w:szCs w:val="24"/>
        </w:rPr>
        <w:t xml:space="preserve"> Hadid</w:t>
      </w:r>
      <w:r w:rsidR="00545D37">
        <w:rPr>
          <w:rFonts w:asciiTheme="minorBidi" w:hAnsiTheme="minorBidi"/>
          <w:sz w:val="24"/>
          <w:szCs w:val="24"/>
        </w:rPr>
        <w:t xml:space="preserve"> and Ono</w:t>
      </w:r>
      <w:r w:rsidR="00BE4D0D">
        <w:rPr>
          <w:rFonts w:asciiTheme="minorBidi" w:hAnsiTheme="minorBidi"/>
          <w:sz w:val="24"/>
          <w:szCs w:val="24"/>
        </w:rPr>
        <w:t xml:space="preserve"> are basically situated on that line – yet they were omitted.</w:t>
      </w:r>
    </w:p>
    <w:p w:rsidR="00692996" w:rsidRDefault="00692996" w:rsidP="00F6685D">
      <w:pPr>
        <w:spacing w:after="0" w:line="240" w:lineRule="auto"/>
        <w:jc w:val="both"/>
        <w:outlineLvl w:val="0"/>
        <w:rPr>
          <w:rFonts w:asciiTheme="minorBidi" w:hAnsiTheme="minorBidi"/>
          <w:sz w:val="24"/>
          <w:szCs w:val="24"/>
        </w:rPr>
      </w:pPr>
    </w:p>
    <w:p w:rsidR="00E30975" w:rsidRDefault="00692996" w:rsidP="00F6685D">
      <w:pPr>
        <w:keepNext/>
        <w:spacing w:after="0" w:line="240" w:lineRule="auto"/>
        <w:jc w:val="center"/>
        <w:outlineLvl w:val="0"/>
      </w:pPr>
      <w:r>
        <w:rPr>
          <w:rFonts w:asciiTheme="minorBidi" w:hAnsiTheme="minorBidi"/>
          <w:noProof/>
          <w:sz w:val="24"/>
          <w:szCs w:val="24"/>
        </w:rPr>
        <w:drawing>
          <wp:inline distT="0" distB="0" distL="0" distR="0" wp14:anchorId="5DC6594A" wp14:editId="1D5C55AF">
            <wp:extent cx="1936971" cy="2189699"/>
            <wp:effectExtent l="19050" t="0" r="6129" b="0"/>
            <wp:docPr id="3" name="Picture 2" descr="איור 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איור 46.png"/>
                    <pic:cNvPicPr/>
                  </pic:nvPicPr>
                  <pic:blipFill>
                    <a:blip r:embed="rId14" cstate="screen"/>
                    <a:srcRect/>
                    <a:stretch>
                      <a:fillRect/>
                    </a:stretch>
                  </pic:blipFill>
                  <pic:spPr>
                    <a:xfrm>
                      <a:off x="0" y="0"/>
                      <a:ext cx="1937102" cy="2189847"/>
                    </a:xfrm>
                    <a:prstGeom prst="rect">
                      <a:avLst/>
                    </a:prstGeom>
                  </pic:spPr>
                </pic:pic>
              </a:graphicData>
            </a:graphic>
          </wp:inline>
        </w:drawing>
      </w:r>
    </w:p>
    <w:p w:rsidR="00692996" w:rsidRPr="00686646" w:rsidRDefault="00E30975" w:rsidP="00F6685D">
      <w:pPr>
        <w:pStyle w:val="Caption"/>
        <w:spacing w:after="0"/>
        <w:jc w:val="center"/>
        <w:rPr>
          <w:rFonts w:asciiTheme="minorBidi" w:hAnsiTheme="minorBidi"/>
          <w:sz w:val="20"/>
          <w:szCs w:val="20"/>
        </w:rPr>
      </w:pPr>
      <w:r>
        <w:rPr>
          <w:rFonts w:asciiTheme="minorBidi" w:hAnsiTheme="minorBidi"/>
          <w:b w:val="0"/>
          <w:bCs w:val="0"/>
          <w:color w:val="auto"/>
          <w:sz w:val="20"/>
          <w:szCs w:val="20"/>
        </w:rPr>
        <w:t>Prof. Aaron Demsky</w:t>
      </w:r>
    </w:p>
    <w:p w:rsidR="00BE4D0D" w:rsidRDefault="00BE4D0D" w:rsidP="00F6685D">
      <w:pPr>
        <w:spacing w:after="0" w:line="240" w:lineRule="auto"/>
        <w:jc w:val="both"/>
        <w:outlineLvl w:val="0"/>
        <w:rPr>
          <w:rFonts w:asciiTheme="minorBidi" w:hAnsiTheme="minorBidi"/>
          <w:sz w:val="24"/>
          <w:szCs w:val="24"/>
        </w:rPr>
      </w:pPr>
    </w:p>
    <w:p w:rsidR="00BE4D0D" w:rsidRDefault="00BE4D0D" w:rsidP="00F6685D">
      <w:pPr>
        <w:spacing w:after="0" w:line="240" w:lineRule="auto"/>
        <w:jc w:val="both"/>
        <w:outlineLvl w:val="0"/>
        <w:rPr>
          <w:rFonts w:asciiTheme="minorBidi" w:hAnsiTheme="minorBidi"/>
          <w:sz w:val="24"/>
          <w:szCs w:val="24"/>
        </w:rPr>
      </w:pPr>
      <w:r>
        <w:rPr>
          <w:rFonts w:asciiTheme="minorBidi" w:hAnsiTheme="minorBidi"/>
          <w:sz w:val="24"/>
          <w:szCs w:val="24"/>
        </w:rPr>
        <w:tab/>
        <w:t xml:space="preserve">However, the most important question here is a different one: the comparison of the territory of Dan to the territories of Judah and Ephraim. There is no overlap between the northern border of Judah (Joshua 15:5-11) and the southern border of Ephraim (16:1-3). On the eastern </w:t>
      </w:r>
      <w:r w:rsidR="00491BF9">
        <w:rPr>
          <w:rFonts w:asciiTheme="minorBidi" w:hAnsiTheme="minorBidi"/>
          <w:sz w:val="24"/>
          <w:szCs w:val="24"/>
        </w:rPr>
        <w:t>portion of the borderlines</w:t>
      </w:r>
      <w:r>
        <w:rPr>
          <w:rFonts w:asciiTheme="minorBidi" w:hAnsiTheme="minorBidi"/>
          <w:sz w:val="24"/>
          <w:szCs w:val="24"/>
        </w:rPr>
        <w:t>, from the Jordan to Kiriath-jearim on the border of Judah</w:t>
      </w:r>
      <w:r w:rsidR="00545D37">
        <w:rPr>
          <w:rFonts w:asciiTheme="minorBidi" w:hAnsiTheme="minorBidi"/>
          <w:sz w:val="24"/>
          <w:szCs w:val="24"/>
        </w:rPr>
        <w:t xml:space="preserve"> and</w:t>
      </w:r>
      <w:r>
        <w:rPr>
          <w:rFonts w:asciiTheme="minorBidi" w:hAnsiTheme="minorBidi"/>
          <w:sz w:val="24"/>
          <w:szCs w:val="24"/>
        </w:rPr>
        <w:t xml:space="preserve"> to Lower Beth-horon on the border of Ephraim, there is a space between the two territories that is occupied by the tribe of Benjamin (18:11-20). Additionally, there is another narrow area in which there is a small amount of space – the Aijalon area. However, from there on, for </w:t>
      </w:r>
      <w:r w:rsidR="006F40D0">
        <w:rPr>
          <w:rFonts w:asciiTheme="minorBidi" w:hAnsiTheme="minorBidi"/>
          <w:sz w:val="24"/>
          <w:szCs w:val="24"/>
        </w:rPr>
        <w:t>over fifteen miles of Shephelah and coast, the borders basically overlap. Gezer, which is listed as part of the southern border of Ephraim, and Jabneel (Yavne), which is listed as part of the northern border of Judah, are situated along the same line of latitude. What this means is that there was no room left for the tribe of Dan. In other words: Beth-shemesh, Zorah, Eshtaol, Timnah and Ekron were part of the territory of Judah. Shaalabbin, Jehud, Bene-berak, Gath-rimmon and Joppa belonged to Ephraim. What land does this leave for the territory of Dan?</w:t>
      </w:r>
    </w:p>
    <w:p w:rsidR="006F40D0" w:rsidRDefault="006F40D0" w:rsidP="00F6685D">
      <w:pPr>
        <w:spacing w:after="0" w:line="240" w:lineRule="auto"/>
        <w:jc w:val="both"/>
        <w:outlineLvl w:val="0"/>
        <w:rPr>
          <w:rFonts w:asciiTheme="minorBidi" w:hAnsiTheme="minorBidi"/>
          <w:sz w:val="24"/>
          <w:szCs w:val="24"/>
        </w:rPr>
      </w:pPr>
    </w:p>
    <w:p w:rsidR="006F40D0" w:rsidRDefault="006F40D0" w:rsidP="00F6685D">
      <w:pPr>
        <w:spacing w:after="0" w:line="240" w:lineRule="auto"/>
        <w:jc w:val="both"/>
        <w:outlineLvl w:val="0"/>
        <w:rPr>
          <w:rFonts w:asciiTheme="minorBidi" w:hAnsiTheme="minorBidi"/>
          <w:b/>
          <w:bCs/>
          <w:sz w:val="24"/>
          <w:szCs w:val="24"/>
        </w:rPr>
      </w:pPr>
      <w:r>
        <w:rPr>
          <w:rFonts w:asciiTheme="minorBidi" w:hAnsiTheme="minorBidi"/>
          <w:b/>
          <w:bCs/>
          <w:sz w:val="24"/>
          <w:szCs w:val="24"/>
        </w:rPr>
        <w:t>My Solution</w:t>
      </w:r>
    </w:p>
    <w:p w:rsidR="006F40D0" w:rsidRDefault="006F40D0" w:rsidP="00F6685D">
      <w:pPr>
        <w:spacing w:after="0" w:line="240" w:lineRule="auto"/>
        <w:jc w:val="both"/>
        <w:outlineLvl w:val="0"/>
        <w:rPr>
          <w:rFonts w:asciiTheme="minorBidi" w:hAnsiTheme="minorBidi"/>
          <w:b/>
          <w:bCs/>
          <w:sz w:val="24"/>
          <w:szCs w:val="24"/>
        </w:rPr>
      </w:pPr>
    </w:p>
    <w:p w:rsidR="006F40D0" w:rsidRDefault="006F40D0" w:rsidP="00F6685D">
      <w:pPr>
        <w:spacing w:after="0" w:line="240" w:lineRule="auto"/>
        <w:jc w:val="both"/>
        <w:outlineLvl w:val="0"/>
        <w:rPr>
          <w:rFonts w:asciiTheme="minorBidi" w:hAnsiTheme="minorBidi"/>
          <w:sz w:val="24"/>
          <w:szCs w:val="24"/>
        </w:rPr>
      </w:pPr>
      <w:r>
        <w:rPr>
          <w:rFonts w:asciiTheme="minorBidi" w:hAnsiTheme="minorBidi"/>
          <w:sz w:val="24"/>
          <w:szCs w:val="24"/>
        </w:rPr>
        <w:tab/>
        <w:t xml:space="preserve">It seems that the territory of Dan (19:40-46) is similar in character to the territory of Simeon (19:1-9). The descriptions of both of these two territories include lists of cities but no surrounding borderline. In the territory of Simeon there is an abundance of cities with no identification, whereas in the territory of Dan </w:t>
      </w:r>
      <w:r w:rsidR="00FE3B24">
        <w:rPr>
          <w:rFonts w:asciiTheme="minorBidi" w:hAnsiTheme="minorBidi"/>
          <w:sz w:val="24"/>
          <w:szCs w:val="24"/>
        </w:rPr>
        <w:t xml:space="preserve">scholars </w:t>
      </w:r>
      <w:r>
        <w:rPr>
          <w:rFonts w:asciiTheme="minorBidi" w:hAnsiTheme="minorBidi"/>
          <w:sz w:val="24"/>
          <w:szCs w:val="24"/>
        </w:rPr>
        <w:t xml:space="preserve">have identified most of the cities. </w:t>
      </w:r>
      <w:r w:rsidR="00FE3B24">
        <w:rPr>
          <w:rFonts w:asciiTheme="minorBidi" w:hAnsiTheme="minorBidi"/>
          <w:sz w:val="24"/>
          <w:szCs w:val="24"/>
        </w:rPr>
        <w:t>W</w:t>
      </w:r>
      <w:r w:rsidR="00E03C8F">
        <w:rPr>
          <w:rFonts w:asciiTheme="minorBidi" w:hAnsiTheme="minorBidi"/>
          <w:sz w:val="24"/>
          <w:szCs w:val="24"/>
        </w:rPr>
        <w:t xml:space="preserve">e </w:t>
      </w:r>
      <w:r w:rsidR="00FE3B24">
        <w:rPr>
          <w:rFonts w:asciiTheme="minorBidi" w:hAnsiTheme="minorBidi"/>
          <w:sz w:val="24"/>
          <w:szCs w:val="24"/>
        </w:rPr>
        <w:t xml:space="preserve">can </w:t>
      </w:r>
      <w:r w:rsidR="00E03C8F">
        <w:rPr>
          <w:rFonts w:asciiTheme="minorBidi" w:hAnsiTheme="minorBidi"/>
          <w:sz w:val="24"/>
          <w:szCs w:val="24"/>
        </w:rPr>
        <w:t>determine that the territory of Dan contains neither surrounding borderline nor territorial contiguity. What is the background of this character of the territory</w:t>
      </w:r>
      <w:r w:rsidR="00FE3B24">
        <w:rPr>
          <w:rFonts w:asciiTheme="minorBidi" w:hAnsiTheme="minorBidi"/>
          <w:sz w:val="24"/>
          <w:szCs w:val="24"/>
        </w:rPr>
        <w:t>?</w:t>
      </w:r>
      <w:r w:rsidR="00E03C8F">
        <w:rPr>
          <w:rFonts w:asciiTheme="minorBidi" w:hAnsiTheme="minorBidi"/>
          <w:sz w:val="24"/>
          <w:szCs w:val="24"/>
        </w:rPr>
        <w:t xml:space="preserve"> </w:t>
      </w:r>
      <w:r w:rsidR="00FE3B24">
        <w:rPr>
          <w:rFonts w:asciiTheme="minorBidi" w:hAnsiTheme="minorBidi"/>
          <w:sz w:val="24"/>
          <w:szCs w:val="24"/>
        </w:rPr>
        <w:t xml:space="preserve">As for </w:t>
      </w:r>
      <w:r w:rsidR="00E03C8F">
        <w:rPr>
          <w:rFonts w:asciiTheme="minorBidi" w:hAnsiTheme="minorBidi"/>
          <w:sz w:val="24"/>
          <w:szCs w:val="24"/>
        </w:rPr>
        <w:t>Simeon</w:t>
      </w:r>
      <w:r w:rsidR="00FE3B24">
        <w:rPr>
          <w:rFonts w:asciiTheme="minorBidi" w:hAnsiTheme="minorBidi"/>
          <w:sz w:val="24"/>
          <w:szCs w:val="24"/>
        </w:rPr>
        <w:t>, t</w:t>
      </w:r>
      <w:r w:rsidR="00E03C8F">
        <w:rPr>
          <w:rFonts w:asciiTheme="minorBidi" w:hAnsiTheme="minorBidi"/>
          <w:sz w:val="24"/>
          <w:szCs w:val="24"/>
        </w:rPr>
        <w:t xml:space="preserve">he </w:t>
      </w:r>
      <w:r w:rsidR="00E03C8F">
        <w:rPr>
          <w:rFonts w:asciiTheme="minorBidi" w:hAnsiTheme="minorBidi"/>
          <w:i/>
          <w:iCs/>
          <w:sz w:val="24"/>
          <w:szCs w:val="24"/>
        </w:rPr>
        <w:t>Tanakh</w:t>
      </w:r>
      <w:r w:rsidR="00E03C8F">
        <w:rPr>
          <w:rFonts w:asciiTheme="minorBidi" w:hAnsiTheme="minorBidi"/>
          <w:sz w:val="24"/>
          <w:szCs w:val="24"/>
        </w:rPr>
        <w:t xml:space="preserve"> states: “Since the share of the Judites was larger than they needed, the Simeonites received a portion inside their portion” (19:9). The verse reveals in Judges 1:3 that the Judites and the Simeonites formed a pact</w:t>
      </w:r>
      <w:r w:rsidR="00A34425">
        <w:rPr>
          <w:rFonts w:asciiTheme="minorBidi" w:hAnsiTheme="minorBidi"/>
          <w:sz w:val="24"/>
          <w:szCs w:val="24"/>
        </w:rPr>
        <w:t xml:space="preserve"> in which they agreed to fight together in the wars of conquest and to </w:t>
      </w:r>
      <w:r w:rsidR="00A34425">
        <w:rPr>
          <w:rFonts w:asciiTheme="minorBidi" w:hAnsiTheme="minorBidi"/>
          <w:sz w:val="24"/>
          <w:szCs w:val="24"/>
        </w:rPr>
        <w:lastRenderedPageBreak/>
        <w:t xml:space="preserve">share their territory as well. It appears that Simeon was a weak tribe without organizational abilities. We may even speculate that the tribe of Simeon was then in a state of shock following the loss of tens of thousands of their number. Simeon was the only tribe whose numbers decreased drastically; they effectively lost most of their population between the census taken in the second year since the Exodus and the census taken in the fortieth year (from 59,300 to 22,200). </w:t>
      </w:r>
      <w:r w:rsidR="00A34425">
        <w:rPr>
          <w:rFonts w:asciiTheme="minorBidi" w:hAnsiTheme="minorBidi"/>
          <w:i/>
          <w:iCs/>
          <w:sz w:val="24"/>
          <w:szCs w:val="24"/>
        </w:rPr>
        <w:t>Chazal</w:t>
      </w:r>
      <w:r w:rsidR="00A34425">
        <w:rPr>
          <w:rFonts w:asciiTheme="minorBidi" w:hAnsiTheme="minorBidi"/>
          <w:sz w:val="24"/>
          <w:szCs w:val="24"/>
        </w:rPr>
        <w:t xml:space="preserve"> explained that all the 24,000 people who died in the plague following the incident of Baal-peor were from the tribe of Simeon, the tribe of Zimri son of Salu. It is well known that Moses did not impart a unique blessing to Simeon, merely hinting at the tribe in Judah’s blessing: “Hear (</w:t>
      </w:r>
      <w:r w:rsidR="00A34425">
        <w:rPr>
          <w:rFonts w:asciiTheme="minorBidi" w:hAnsiTheme="minorBidi"/>
          <w:i/>
          <w:iCs/>
          <w:sz w:val="24"/>
          <w:szCs w:val="24"/>
        </w:rPr>
        <w:t>shema</w:t>
      </w:r>
      <w:r w:rsidR="00A34425">
        <w:rPr>
          <w:rFonts w:asciiTheme="minorBidi" w:hAnsiTheme="minorBidi"/>
          <w:sz w:val="24"/>
          <w:szCs w:val="24"/>
        </w:rPr>
        <w:t>), O Lord the voice of Judah” (Deuteronomy 33:7).</w:t>
      </w:r>
    </w:p>
    <w:p w:rsidR="00A34425" w:rsidRDefault="00A34425" w:rsidP="00F6685D">
      <w:pPr>
        <w:spacing w:after="0" w:line="240" w:lineRule="auto"/>
        <w:jc w:val="both"/>
        <w:outlineLvl w:val="0"/>
        <w:rPr>
          <w:rFonts w:asciiTheme="minorBidi" w:hAnsiTheme="minorBidi"/>
          <w:sz w:val="24"/>
          <w:szCs w:val="24"/>
        </w:rPr>
      </w:pPr>
    </w:p>
    <w:p w:rsidR="00A34425" w:rsidRDefault="00A34425" w:rsidP="00F6685D">
      <w:pPr>
        <w:spacing w:after="0" w:line="240" w:lineRule="auto"/>
        <w:jc w:val="both"/>
        <w:outlineLvl w:val="0"/>
        <w:rPr>
          <w:rFonts w:asciiTheme="minorBidi" w:hAnsiTheme="minorBidi"/>
          <w:sz w:val="24"/>
          <w:szCs w:val="24"/>
        </w:rPr>
      </w:pPr>
      <w:r>
        <w:rPr>
          <w:rFonts w:asciiTheme="minorBidi" w:hAnsiTheme="minorBidi"/>
          <w:sz w:val="24"/>
          <w:szCs w:val="24"/>
        </w:rPr>
        <w:tab/>
        <w:t xml:space="preserve">Most of the cities that Simeon received from Judah are enumerated twice in the book of Joshua as well, once in the list of Judah’s cities in the Negeb (15:20-33) and again in the list of Simeonite cities (19:1-9). It is reasonable to assume that the Judites did not abandon these cities, but rather that </w:t>
      </w:r>
      <w:r w:rsidR="00925EE3">
        <w:rPr>
          <w:rFonts w:asciiTheme="minorBidi" w:hAnsiTheme="minorBidi"/>
          <w:sz w:val="24"/>
          <w:szCs w:val="24"/>
        </w:rPr>
        <w:t xml:space="preserve">they and the Simeonites lived in the cities side by side. It is difficult to imagine that a central city like Beersheba could have been purely Simeonite. More likely, it remained in Judite hands while the Simeonites were given the right to settle there. </w:t>
      </w:r>
    </w:p>
    <w:p w:rsidR="00925EE3" w:rsidRDefault="00925EE3" w:rsidP="00F6685D">
      <w:pPr>
        <w:spacing w:after="0" w:line="240" w:lineRule="auto"/>
        <w:jc w:val="both"/>
        <w:outlineLvl w:val="0"/>
        <w:rPr>
          <w:rFonts w:asciiTheme="minorBidi" w:hAnsiTheme="minorBidi"/>
          <w:sz w:val="24"/>
          <w:szCs w:val="24"/>
        </w:rPr>
      </w:pPr>
    </w:p>
    <w:p w:rsidR="00925EE3" w:rsidRDefault="00925EE3" w:rsidP="00F6685D">
      <w:pPr>
        <w:spacing w:after="0" w:line="240" w:lineRule="auto"/>
        <w:jc w:val="both"/>
        <w:outlineLvl w:val="0"/>
        <w:rPr>
          <w:rFonts w:asciiTheme="minorBidi" w:hAnsiTheme="minorBidi"/>
          <w:sz w:val="24"/>
          <w:szCs w:val="24"/>
        </w:rPr>
      </w:pPr>
      <w:r>
        <w:rPr>
          <w:rFonts w:asciiTheme="minorBidi" w:hAnsiTheme="minorBidi"/>
          <w:sz w:val="24"/>
          <w:szCs w:val="24"/>
        </w:rPr>
        <w:tab/>
        <w:t xml:space="preserve">From here, we can return to the Danites. The tribe of Dan was the second-largest tribe of Israel (after Judah), and it preserved its high population until the fortieth-year census. However, despite its strength in numbers, the tribe did not seem to possess actual power. In the wilderness, Judah was the vanguard while Dan was “the rear guard of all the divisions.” When the people of Israel reached the land, Judah </w:t>
      </w:r>
      <w:r w:rsidR="00E63689">
        <w:rPr>
          <w:rFonts w:asciiTheme="minorBidi" w:hAnsiTheme="minorBidi"/>
          <w:sz w:val="24"/>
          <w:szCs w:val="24"/>
        </w:rPr>
        <w:t xml:space="preserve">was first and foremost in both conquering and settling the land, while </w:t>
      </w:r>
      <w:r w:rsidR="00F2086C">
        <w:rPr>
          <w:rFonts w:asciiTheme="minorBidi" w:hAnsiTheme="minorBidi"/>
          <w:sz w:val="24"/>
          <w:szCs w:val="24"/>
        </w:rPr>
        <w:t xml:space="preserve">no </w:t>
      </w:r>
      <w:r w:rsidR="00E63689">
        <w:rPr>
          <w:rFonts w:asciiTheme="minorBidi" w:hAnsiTheme="minorBidi"/>
          <w:sz w:val="24"/>
          <w:szCs w:val="24"/>
        </w:rPr>
        <w:t xml:space="preserve">exploits of the tribe of Dan during that period are recorded. The process of settling the land hinged primarily on the tribes’ motivation and their ability to act. The Judites and the Josephite tribes – the Manassites in particular – were the ones who were strong enough and ambitious enough to take possession of the land. Joshua 14 relates that upon their request, Caleb son of Jephunneh and the Judites were granted permission to go to war against the giants in Mount Hebron and to settle Hebron and the fortified cities surrounding it. Caleb promised his daughter’s hand in marriage to the man who would attack and capture Kiriath-sepher. The Manassites settled the Gilead and the Bashan, while the daughters of Zelophehad demanded </w:t>
      </w:r>
      <w:r w:rsidR="009C3DE0">
        <w:rPr>
          <w:rFonts w:asciiTheme="minorBidi" w:hAnsiTheme="minorBidi"/>
          <w:sz w:val="24"/>
          <w:szCs w:val="24"/>
        </w:rPr>
        <w:t>portions among their brothers. Joshua gave the land of the valleys – which had been designated for Issachar and Asher – to the Manassites, in the hope that they would be able to dispossess the Canaanites there who possessed iron chariots (17:11, 18). The indolent tribes remained in Gilgal while the five zealous tribes fought and engaged in conquering the wasteland. It is likely no coincidence that the tribe of Dan was left until the end; the Danites were the “rear guard” of the tribes in the settlement process as well.</w:t>
      </w:r>
    </w:p>
    <w:p w:rsidR="009C3DE0" w:rsidRDefault="009C3DE0" w:rsidP="00F6685D">
      <w:pPr>
        <w:spacing w:after="0" w:line="240" w:lineRule="auto"/>
        <w:jc w:val="both"/>
        <w:outlineLvl w:val="0"/>
        <w:rPr>
          <w:rFonts w:asciiTheme="minorBidi" w:hAnsiTheme="minorBidi"/>
          <w:sz w:val="24"/>
          <w:szCs w:val="24"/>
        </w:rPr>
      </w:pPr>
    </w:p>
    <w:p w:rsidR="009C3DE0" w:rsidRDefault="009C3DE0" w:rsidP="00F6685D">
      <w:pPr>
        <w:spacing w:after="0" w:line="240" w:lineRule="auto"/>
        <w:jc w:val="both"/>
        <w:outlineLvl w:val="0"/>
        <w:rPr>
          <w:rFonts w:asciiTheme="minorBidi" w:hAnsiTheme="minorBidi"/>
          <w:sz w:val="24"/>
          <w:szCs w:val="24"/>
        </w:rPr>
      </w:pPr>
      <w:r>
        <w:rPr>
          <w:rFonts w:asciiTheme="minorBidi" w:hAnsiTheme="minorBidi"/>
          <w:sz w:val="24"/>
          <w:szCs w:val="24"/>
        </w:rPr>
        <w:tab/>
      </w:r>
      <w:r w:rsidR="00617AD0">
        <w:rPr>
          <w:rFonts w:asciiTheme="minorBidi" w:hAnsiTheme="minorBidi"/>
          <w:sz w:val="24"/>
          <w:szCs w:val="24"/>
        </w:rPr>
        <w:t xml:space="preserve">In </w:t>
      </w:r>
      <w:r>
        <w:rPr>
          <w:rFonts w:asciiTheme="minorBidi" w:hAnsiTheme="minorBidi"/>
          <w:sz w:val="24"/>
          <w:szCs w:val="24"/>
        </w:rPr>
        <w:t xml:space="preserve">Joshua </w:t>
      </w:r>
      <w:r w:rsidR="00617AD0">
        <w:rPr>
          <w:rFonts w:asciiTheme="minorBidi" w:hAnsiTheme="minorBidi"/>
          <w:sz w:val="24"/>
          <w:szCs w:val="24"/>
        </w:rPr>
        <w:t xml:space="preserve">18, the nation assembles and Joshua urges the seven remaining tribes to follow in the footsteps of the five industrious tribes and discharge their responsibility with respect to conquering and settling the land. Joshua establishes a just principle: “Judah shall remain by its territory in the </w:t>
      </w:r>
      <w:r w:rsidR="00617AD0">
        <w:rPr>
          <w:rFonts w:asciiTheme="minorBidi" w:hAnsiTheme="minorBidi"/>
          <w:sz w:val="24"/>
          <w:szCs w:val="24"/>
        </w:rPr>
        <w:lastRenderedPageBreak/>
        <w:t xml:space="preserve">south, and the house of Joseph shall remain by its territory in the north” (18:5). In other words, the entire nation of Israel shows its thanks to the industrious tribes for their initiative in conquering and dispossessing the land. The thought that these five tribes would be required to </w:t>
      </w:r>
      <w:r w:rsidR="00D62A4C">
        <w:rPr>
          <w:rFonts w:asciiTheme="minorBidi" w:hAnsiTheme="minorBidi"/>
          <w:sz w:val="24"/>
          <w:szCs w:val="24"/>
        </w:rPr>
        <w:t xml:space="preserve">clear out the places they conquered for the benefit of other tribes was never even entertained. They would stay where they were, while the rest of the tribes would divide the remaining land. We may even speculate that this secondary allotment of the remainder of the land was dependent to some extent on the eagerness and demand of the tribes to receive their portion. By the time Dan’s turn was reached, there was no portion left for the tribe. I can picture the scene: The elderly Joshua turns to his close friend and partner in </w:t>
      </w:r>
      <w:r w:rsidR="00112D73">
        <w:rPr>
          <w:rFonts w:asciiTheme="minorBidi" w:hAnsiTheme="minorBidi"/>
          <w:sz w:val="24"/>
          <w:szCs w:val="24"/>
        </w:rPr>
        <w:t xml:space="preserve">loyalty to God and to the cause of settling the land of Israel </w:t>
      </w:r>
      <w:r w:rsidR="00D62A4C">
        <w:rPr>
          <w:rFonts w:asciiTheme="minorBidi" w:hAnsiTheme="minorBidi"/>
          <w:sz w:val="24"/>
          <w:szCs w:val="24"/>
        </w:rPr>
        <w:t>Caleb son of Jephunneh</w:t>
      </w:r>
      <w:r w:rsidR="00112D73">
        <w:rPr>
          <w:rFonts w:asciiTheme="minorBidi" w:hAnsiTheme="minorBidi"/>
          <w:sz w:val="24"/>
          <w:szCs w:val="24"/>
        </w:rPr>
        <w:t xml:space="preserve">, saying: Look, we need to solve the problem of the tribe of Dan, the </w:t>
      </w:r>
      <w:r w:rsidR="00E327EF">
        <w:rPr>
          <w:rFonts w:asciiTheme="minorBidi" w:hAnsiTheme="minorBidi"/>
          <w:sz w:val="24"/>
          <w:szCs w:val="24"/>
        </w:rPr>
        <w:t>most laggardly</w:t>
      </w:r>
      <w:r w:rsidR="00112D73">
        <w:rPr>
          <w:rFonts w:asciiTheme="minorBidi" w:hAnsiTheme="minorBidi"/>
          <w:sz w:val="24"/>
          <w:szCs w:val="24"/>
        </w:rPr>
        <w:t xml:space="preserve"> of the </w:t>
      </w:r>
      <w:r w:rsidR="00E327EF">
        <w:rPr>
          <w:rFonts w:asciiTheme="minorBidi" w:hAnsiTheme="minorBidi"/>
          <w:sz w:val="24"/>
          <w:szCs w:val="24"/>
        </w:rPr>
        <w:t xml:space="preserve">laggardly </w:t>
      </w:r>
      <w:r w:rsidR="00112D73">
        <w:rPr>
          <w:rFonts w:asciiTheme="minorBidi" w:hAnsiTheme="minorBidi"/>
          <w:sz w:val="24"/>
          <w:szCs w:val="24"/>
        </w:rPr>
        <w:t>tribes. Let us give them the right to settle in the cities of our Shephelah, where the Canaanites still need to be dealt with – half from your territory and half from mine.</w:t>
      </w:r>
    </w:p>
    <w:p w:rsidR="00112D73" w:rsidRDefault="00112D73" w:rsidP="00F6685D">
      <w:pPr>
        <w:spacing w:after="0" w:line="240" w:lineRule="auto"/>
        <w:jc w:val="both"/>
        <w:outlineLvl w:val="0"/>
        <w:rPr>
          <w:rFonts w:asciiTheme="minorBidi" w:hAnsiTheme="minorBidi"/>
          <w:sz w:val="24"/>
          <w:szCs w:val="24"/>
        </w:rPr>
      </w:pPr>
    </w:p>
    <w:p w:rsidR="00112D73" w:rsidRDefault="00112D73" w:rsidP="00F6685D">
      <w:pPr>
        <w:spacing w:after="0" w:line="240" w:lineRule="auto"/>
        <w:jc w:val="both"/>
        <w:outlineLvl w:val="0"/>
        <w:rPr>
          <w:rFonts w:asciiTheme="minorBidi" w:hAnsiTheme="minorBidi"/>
          <w:b/>
          <w:bCs/>
          <w:sz w:val="24"/>
          <w:szCs w:val="24"/>
        </w:rPr>
      </w:pPr>
      <w:r>
        <w:rPr>
          <w:rFonts w:asciiTheme="minorBidi" w:hAnsiTheme="minorBidi"/>
          <w:b/>
          <w:bCs/>
          <w:sz w:val="24"/>
          <w:szCs w:val="24"/>
        </w:rPr>
        <w:t xml:space="preserve">“Of the </w:t>
      </w:r>
      <w:r w:rsidR="00E327EF">
        <w:rPr>
          <w:rFonts w:asciiTheme="minorBidi" w:hAnsiTheme="minorBidi"/>
          <w:b/>
          <w:bCs/>
          <w:sz w:val="24"/>
          <w:szCs w:val="24"/>
        </w:rPr>
        <w:t>Family</w:t>
      </w:r>
      <w:r>
        <w:rPr>
          <w:rFonts w:asciiTheme="minorBidi" w:hAnsiTheme="minorBidi"/>
          <w:b/>
          <w:bCs/>
          <w:sz w:val="24"/>
          <w:szCs w:val="24"/>
        </w:rPr>
        <w:t xml:space="preserve"> of </w:t>
      </w:r>
      <w:r w:rsidR="00E327EF">
        <w:rPr>
          <w:rFonts w:asciiTheme="minorBidi" w:hAnsiTheme="minorBidi"/>
          <w:b/>
          <w:bCs/>
          <w:sz w:val="24"/>
          <w:szCs w:val="24"/>
        </w:rPr>
        <w:t xml:space="preserve">the </w:t>
      </w:r>
      <w:r>
        <w:rPr>
          <w:rFonts w:asciiTheme="minorBidi" w:hAnsiTheme="minorBidi"/>
          <w:b/>
          <w:bCs/>
          <w:sz w:val="24"/>
          <w:szCs w:val="24"/>
        </w:rPr>
        <w:t>Dan</w:t>
      </w:r>
      <w:r w:rsidR="00E327EF">
        <w:rPr>
          <w:rFonts w:asciiTheme="minorBidi" w:hAnsiTheme="minorBidi"/>
          <w:b/>
          <w:bCs/>
          <w:sz w:val="24"/>
          <w:szCs w:val="24"/>
        </w:rPr>
        <w:t>ites</w:t>
      </w:r>
      <w:r>
        <w:rPr>
          <w:rFonts w:asciiTheme="minorBidi" w:hAnsiTheme="minorBidi"/>
          <w:b/>
          <w:bCs/>
          <w:sz w:val="24"/>
          <w:szCs w:val="24"/>
        </w:rPr>
        <w:t>”</w:t>
      </w:r>
    </w:p>
    <w:p w:rsidR="00112D73" w:rsidRDefault="00112D73" w:rsidP="00F6685D">
      <w:pPr>
        <w:spacing w:after="0" w:line="240" w:lineRule="auto"/>
        <w:jc w:val="both"/>
        <w:outlineLvl w:val="0"/>
        <w:rPr>
          <w:rFonts w:asciiTheme="minorBidi" w:hAnsiTheme="minorBidi"/>
          <w:b/>
          <w:bCs/>
          <w:sz w:val="24"/>
          <w:szCs w:val="24"/>
        </w:rPr>
      </w:pPr>
    </w:p>
    <w:p w:rsidR="00112D73" w:rsidRDefault="00E327EF" w:rsidP="00F6685D">
      <w:pPr>
        <w:spacing w:after="0" w:line="240" w:lineRule="auto"/>
        <w:jc w:val="both"/>
        <w:outlineLvl w:val="0"/>
        <w:rPr>
          <w:rFonts w:asciiTheme="minorBidi" w:hAnsiTheme="minorBidi"/>
          <w:sz w:val="24"/>
          <w:szCs w:val="24"/>
        </w:rPr>
      </w:pPr>
      <w:r>
        <w:rPr>
          <w:rFonts w:asciiTheme="minorBidi" w:hAnsiTheme="minorBidi"/>
          <w:sz w:val="24"/>
          <w:szCs w:val="24"/>
        </w:rPr>
        <w:tab/>
        <w:t xml:space="preserve">This understanding explains another unique feature of the Danites of Zorah and Eshtaol. All the stories involving the Danites in the book of Judges </w:t>
      </w:r>
      <w:r w:rsidR="0025745C">
        <w:rPr>
          <w:rFonts w:asciiTheme="minorBidi" w:hAnsiTheme="minorBidi"/>
          <w:sz w:val="24"/>
          <w:szCs w:val="24"/>
        </w:rPr>
        <w:t xml:space="preserve">include the word </w:t>
      </w:r>
      <w:r w:rsidR="0025745C">
        <w:rPr>
          <w:rFonts w:asciiTheme="minorBidi" w:hAnsiTheme="minorBidi"/>
          <w:i/>
          <w:iCs/>
          <w:sz w:val="24"/>
          <w:szCs w:val="24"/>
        </w:rPr>
        <w:t>mishpacha</w:t>
      </w:r>
      <w:r w:rsidR="0025745C">
        <w:rPr>
          <w:rFonts w:asciiTheme="minorBidi" w:hAnsiTheme="minorBidi"/>
          <w:sz w:val="24"/>
          <w:szCs w:val="24"/>
        </w:rPr>
        <w:t>, meaning “</w:t>
      </w:r>
      <w:r w:rsidR="0025745C" w:rsidRPr="00D04830">
        <w:rPr>
          <w:rFonts w:asciiTheme="minorBidi" w:hAnsiTheme="minorBidi"/>
          <w:b/>
          <w:bCs/>
          <w:sz w:val="24"/>
          <w:szCs w:val="24"/>
        </w:rPr>
        <w:t>family</w:t>
      </w:r>
      <w:r w:rsidR="0025745C">
        <w:rPr>
          <w:rFonts w:asciiTheme="minorBidi" w:hAnsiTheme="minorBidi"/>
          <w:sz w:val="24"/>
          <w:szCs w:val="24"/>
        </w:rPr>
        <w:t xml:space="preserve">.” Regarding the Danites who travel north, the verse reads: “The Danites sent out five of their number, from their </w:t>
      </w:r>
      <w:r w:rsidR="0025745C" w:rsidRPr="00D04830">
        <w:rPr>
          <w:rFonts w:asciiTheme="minorBidi" w:hAnsiTheme="minorBidi"/>
          <w:b/>
          <w:bCs/>
          <w:sz w:val="24"/>
          <w:szCs w:val="24"/>
        </w:rPr>
        <w:t>family</w:t>
      </w:r>
      <w:r w:rsidR="0025745C">
        <w:rPr>
          <w:rFonts w:asciiTheme="minorBidi" w:hAnsiTheme="minorBidi"/>
          <w:sz w:val="24"/>
          <w:szCs w:val="24"/>
        </w:rPr>
        <w:t xml:space="preserve"> seat (</w:t>
      </w:r>
      <w:r w:rsidR="0025745C">
        <w:rPr>
          <w:rFonts w:asciiTheme="minorBidi" w:hAnsiTheme="minorBidi"/>
          <w:i/>
          <w:iCs/>
          <w:sz w:val="24"/>
          <w:szCs w:val="24"/>
        </w:rPr>
        <w:t>mi-mishpechotam</w:t>
      </w:r>
      <w:r w:rsidR="0025745C">
        <w:rPr>
          <w:rFonts w:asciiTheme="minorBidi" w:hAnsiTheme="minorBidi"/>
          <w:sz w:val="24"/>
          <w:szCs w:val="24"/>
        </w:rPr>
        <w:t xml:space="preserve">) at Zorah and Eshtaol – valiant men – to spy out the land and explore it” (18:3). Then again later: “They departed from there, from the </w:t>
      </w:r>
      <w:r w:rsidR="0025745C" w:rsidRPr="00D04830">
        <w:rPr>
          <w:rFonts w:asciiTheme="minorBidi" w:hAnsiTheme="minorBidi"/>
          <w:b/>
          <w:bCs/>
          <w:sz w:val="24"/>
          <w:szCs w:val="24"/>
        </w:rPr>
        <w:t>family</w:t>
      </w:r>
      <w:r w:rsidR="0025745C">
        <w:rPr>
          <w:rFonts w:asciiTheme="minorBidi" w:hAnsiTheme="minorBidi"/>
          <w:sz w:val="24"/>
          <w:szCs w:val="24"/>
        </w:rPr>
        <w:t xml:space="preserve"> seat of the Danites (</w:t>
      </w:r>
      <w:r w:rsidR="0025745C">
        <w:rPr>
          <w:rFonts w:asciiTheme="minorBidi" w:hAnsiTheme="minorBidi"/>
          <w:i/>
          <w:iCs/>
          <w:sz w:val="24"/>
          <w:szCs w:val="24"/>
        </w:rPr>
        <w:t>mi-mishpachat Ha-Dani</w:t>
      </w:r>
      <w:r w:rsidR="0025745C">
        <w:rPr>
          <w:rFonts w:asciiTheme="minorBidi" w:hAnsiTheme="minorBidi"/>
          <w:sz w:val="24"/>
          <w:szCs w:val="24"/>
        </w:rPr>
        <w:t xml:space="preserve">), from Zorah and Eshtaol, six hundred strong, girt with weapons of war” (18:11). And our </w:t>
      </w:r>
      <w:r w:rsidR="0025745C">
        <w:rPr>
          <w:rFonts w:asciiTheme="minorBidi" w:hAnsiTheme="minorBidi"/>
          <w:i/>
          <w:iCs/>
          <w:sz w:val="24"/>
          <w:szCs w:val="24"/>
        </w:rPr>
        <w:t xml:space="preserve">haftara </w:t>
      </w:r>
      <w:r w:rsidR="0025745C">
        <w:rPr>
          <w:rFonts w:asciiTheme="minorBidi" w:hAnsiTheme="minorBidi"/>
          <w:sz w:val="24"/>
          <w:szCs w:val="24"/>
        </w:rPr>
        <w:t xml:space="preserve">opens similarly as well: “There was a certain man from Zorah, of the </w:t>
      </w:r>
      <w:r w:rsidR="0025745C" w:rsidRPr="00D04830">
        <w:rPr>
          <w:rFonts w:asciiTheme="minorBidi" w:hAnsiTheme="minorBidi"/>
          <w:b/>
          <w:bCs/>
          <w:sz w:val="24"/>
          <w:szCs w:val="24"/>
        </w:rPr>
        <w:t>family</w:t>
      </w:r>
      <w:r w:rsidR="0025745C">
        <w:rPr>
          <w:rFonts w:asciiTheme="minorBidi" w:hAnsiTheme="minorBidi"/>
          <w:sz w:val="24"/>
          <w:szCs w:val="24"/>
        </w:rPr>
        <w:t xml:space="preserve"> of the Danites, whose name was Manoah” (13:2).</w:t>
      </w:r>
      <w:r w:rsidR="00D04830">
        <w:rPr>
          <w:rFonts w:asciiTheme="minorBidi" w:hAnsiTheme="minorBidi"/>
          <w:sz w:val="24"/>
          <w:szCs w:val="24"/>
        </w:rPr>
        <w:t xml:space="preserve"> What is the nature of this emphasis? My father, </w:t>
      </w:r>
      <w:r w:rsidR="00D04830">
        <w:rPr>
          <w:rFonts w:asciiTheme="minorBidi" w:hAnsiTheme="minorBidi"/>
          <w:i/>
          <w:iCs/>
          <w:sz w:val="24"/>
          <w:szCs w:val="24"/>
        </w:rPr>
        <w:t>z”l</w:t>
      </w:r>
      <w:r w:rsidR="00D04830">
        <w:rPr>
          <w:rFonts w:asciiTheme="minorBidi" w:hAnsiTheme="minorBidi"/>
          <w:sz w:val="24"/>
          <w:szCs w:val="24"/>
        </w:rPr>
        <w:t xml:space="preserve">, explained in the </w:t>
      </w:r>
      <w:r w:rsidR="00D04830">
        <w:rPr>
          <w:rFonts w:asciiTheme="minorBidi" w:hAnsiTheme="minorBidi"/>
          <w:i/>
          <w:iCs/>
          <w:sz w:val="24"/>
          <w:szCs w:val="24"/>
        </w:rPr>
        <w:t>Da’at Mikra</w:t>
      </w:r>
      <w:r w:rsidR="00D04830">
        <w:rPr>
          <w:rFonts w:asciiTheme="minorBidi" w:hAnsiTheme="minorBidi"/>
          <w:sz w:val="24"/>
          <w:szCs w:val="24"/>
        </w:rPr>
        <w:t xml:space="preserve"> commentary on Judges 13:2:</w:t>
      </w:r>
    </w:p>
    <w:p w:rsidR="00D04830" w:rsidRDefault="00D04830" w:rsidP="00F6685D">
      <w:pPr>
        <w:spacing w:after="0" w:line="240" w:lineRule="auto"/>
        <w:jc w:val="both"/>
        <w:outlineLvl w:val="0"/>
        <w:rPr>
          <w:rFonts w:asciiTheme="minorBidi" w:hAnsiTheme="minorBidi"/>
          <w:sz w:val="24"/>
          <w:szCs w:val="24"/>
        </w:rPr>
      </w:pPr>
    </w:p>
    <w:p w:rsidR="00D04830" w:rsidRDefault="00D04830" w:rsidP="00F6685D">
      <w:pPr>
        <w:spacing w:after="0" w:line="240" w:lineRule="auto"/>
        <w:ind w:left="720"/>
        <w:jc w:val="both"/>
        <w:outlineLvl w:val="0"/>
        <w:rPr>
          <w:rFonts w:asciiTheme="minorBidi" w:hAnsiTheme="minorBidi"/>
          <w:sz w:val="24"/>
          <w:szCs w:val="24"/>
        </w:rPr>
      </w:pPr>
      <w:r>
        <w:rPr>
          <w:rFonts w:asciiTheme="minorBidi" w:hAnsiTheme="minorBidi"/>
          <w:sz w:val="24"/>
          <w:szCs w:val="24"/>
        </w:rPr>
        <w:t>Every tribe is divided into families (extended divisions, each consisting of numerous households) and in the tribe of Dan there was only one family (Numbers 26:42). Therefore Dan may be called a tribe and it may be called a family.</w:t>
      </w:r>
    </w:p>
    <w:p w:rsidR="00D04830" w:rsidRDefault="00D04830" w:rsidP="00F6685D">
      <w:pPr>
        <w:spacing w:after="0" w:line="240" w:lineRule="auto"/>
        <w:jc w:val="both"/>
        <w:outlineLvl w:val="0"/>
        <w:rPr>
          <w:rFonts w:asciiTheme="minorBidi" w:hAnsiTheme="minorBidi"/>
          <w:sz w:val="24"/>
          <w:szCs w:val="24"/>
        </w:rPr>
      </w:pPr>
    </w:p>
    <w:p w:rsidR="00D04830" w:rsidRDefault="00D04830" w:rsidP="00F6685D">
      <w:pPr>
        <w:spacing w:after="0" w:line="240" w:lineRule="auto"/>
        <w:jc w:val="both"/>
        <w:outlineLvl w:val="0"/>
        <w:rPr>
          <w:rFonts w:asciiTheme="minorBidi" w:hAnsiTheme="minorBidi"/>
          <w:sz w:val="24"/>
          <w:szCs w:val="24"/>
        </w:rPr>
      </w:pPr>
      <w:r>
        <w:rPr>
          <w:rFonts w:asciiTheme="minorBidi" w:hAnsiTheme="minorBidi"/>
          <w:sz w:val="24"/>
          <w:szCs w:val="24"/>
        </w:rPr>
        <w:t xml:space="preserve">Begging my father’s forgiveness, I would like to offer a different interpretation. In my humble opinion, the explanation is tied to the reality of the settlements in question. The reality was that Zorah and Eshtaol were Judite cities, in which </w:t>
      </w:r>
      <w:r w:rsidR="00735493">
        <w:rPr>
          <w:rFonts w:asciiTheme="minorBidi" w:hAnsiTheme="minorBidi"/>
          <w:sz w:val="24"/>
          <w:szCs w:val="24"/>
        </w:rPr>
        <w:t xml:space="preserve">one Danite family was given permission to settle alongside the Judites, dividing the cities’ lands between them. When the </w:t>
      </w:r>
      <w:r w:rsidR="00735493">
        <w:rPr>
          <w:rFonts w:asciiTheme="minorBidi" w:hAnsiTheme="minorBidi"/>
          <w:i/>
          <w:iCs/>
          <w:sz w:val="24"/>
          <w:szCs w:val="24"/>
        </w:rPr>
        <w:t xml:space="preserve">Tanakh </w:t>
      </w:r>
      <w:r w:rsidR="00735493">
        <w:rPr>
          <w:rFonts w:asciiTheme="minorBidi" w:hAnsiTheme="minorBidi"/>
          <w:sz w:val="24"/>
          <w:szCs w:val="24"/>
        </w:rPr>
        <w:t xml:space="preserve">refers to the Danite residents of Zorah and Eshtaol, it feels the need to emphasize that the group in question is the Danite </w:t>
      </w:r>
      <w:r w:rsidR="00735493">
        <w:rPr>
          <w:rFonts w:asciiTheme="minorBidi" w:hAnsiTheme="minorBidi"/>
          <w:b/>
          <w:bCs/>
          <w:sz w:val="24"/>
          <w:szCs w:val="24"/>
        </w:rPr>
        <w:t>family</w:t>
      </w:r>
      <w:r w:rsidR="00735493">
        <w:rPr>
          <w:rFonts w:asciiTheme="minorBidi" w:hAnsiTheme="minorBidi"/>
          <w:sz w:val="24"/>
          <w:szCs w:val="24"/>
        </w:rPr>
        <w:t xml:space="preserve"> in Zorah.</w:t>
      </w:r>
    </w:p>
    <w:p w:rsidR="00735493" w:rsidRDefault="00735493" w:rsidP="00F6685D">
      <w:pPr>
        <w:spacing w:after="0" w:line="240" w:lineRule="auto"/>
        <w:jc w:val="both"/>
        <w:outlineLvl w:val="0"/>
        <w:rPr>
          <w:rFonts w:asciiTheme="minorBidi" w:hAnsiTheme="minorBidi"/>
          <w:sz w:val="24"/>
          <w:szCs w:val="24"/>
        </w:rPr>
      </w:pPr>
    </w:p>
    <w:p w:rsidR="00735493" w:rsidRDefault="00735493" w:rsidP="00F6685D">
      <w:pPr>
        <w:spacing w:after="0" w:line="240" w:lineRule="auto"/>
        <w:jc w:val="both"/>
        <w:outlineLvl w:val="0"/>
        <w:rPr>
          <w:rFonts w:asciiTheme="minorBidi" w:hAnsiTheme="minorBidi"/>
          <w:b/>
          <w:bCs/>
          <w:sz w:val="24"/>
          <w:szCs w:val="24"/>
        </w:rPr>
      </w:pPr>
      <w:r>
        <w:rPr>
          <w:rFonts w:asciiTheme="minorBidi" w:hAnsiTheme="minorBidi"/>
          <w:b/>
          <w:bCs/>
          <w:sz w:val="24"/>
          <w:szCs w:val="24"/>
        </w:rPr>
        <w:t>The Omission of Dan (and Simeon) from the List of Levite Cities in Chronicles</w:t>
      </w:r>
    </w:p>
    <w:p w:rsidR="00735493" w:rsidRDefault="00735493" w:rsidP="00F6685D">
      <w:pPr>
        <w:spacing w:after="0" w:line="240" w:lineRule="auto"/>
        <w:jc w:val="both"/>
        <w:outlineLvl w:val="0"/>
        <w:rPr>
          <w:rFonts w:asciiTheme="minorBidi" w:hAnsiTheme="minorBidi"/>
          <w:b/>
          <w:bCs/>
          <w:sz w:val="24"/>
          <w:szCs w:val="24"/>
        </w:rPr>
      </w:pPr>
    </w:p>
    <w:p w:rsidR="00735493" w:rsidRDefault="00735493" w:rsidP="00F6685D">
      <w:pPr>
        <w:spacing w:after="0" w:line="240" w:lineRule="auto"/>
        <w:jc w:val="both"/>
        <w:outlineLvl w:val="0"/>
        <w:rPr>
          <w:rFonts w:asciiTheme="minorBidi" w:hAnsiTheme="minorBidi"/>
          <w:sz w:val="24"/>
          <w:szCs w:val="24"/>
        </w:rPr>
      </w:pPr>
      <w:r>
        <w:rPr>
          <w:rFonts w:asciiTheme="minorBidi" w:hAnsiTheme="minorBidi"/>
          <w:sz w:val="24"/>
          <w:szCs w:val="24"/>
        </w:rPr>
        <w:tab/>
        <w:t xml:space="preserve">I Chronicles 6 enumerates the Levite cities. This list is parallel to the list of Levite cities in Joshua 21, but the lists differ from each other in several </w:t>
      </w:r>
      <w:r>
        <w:rPr>
          <w:rFonts w:asciiTheme="minorBidi" w:hAnsiTheme="minorBidi"/>
          <w:sz w:val="24"/>
          <w:szCs w:val="24"/>
        </w:rPr>
        <w:lastRenderedPageBreak/>
        <w:t xml:space="preserve">details. While the list in Joshua contains forty-eight cities (forty-four cities plus four more that appear in a minority of versions of the text, but are omitted from the primary versions), </w:t>
      </w:r>
      <w:r w:rsidR="00C8282B">
        <w:rPr>
          <w:rFonts w:asciiTheme="minorBidi" w:hAnsiTheme="minorBidi"/>
          <w:sz w:val="24"/>
          <w:szCs w:val="24"/>
        </w:rPr>
        <w:t xml:space="preserve">in line with the Torah’s account (Numbers 34:7), the list in Chronicles enumerates only forty-two cities, and some of the names of the cities </w:t>
      </w:r>
      <w:r w:rsidR="001F1E9E">
        <w:rPr>
          <w:rFonts w:asciiTheme="minorBidi" w:hAnsiTheme="minorBidi"/>
          <w:sz w:val="24"/>
          <w:szCs w:val="24"/>
        </w:rPr>
        <w:t xml:space="preserve">have changed. In contrast to the prevailing view in the scholarly literature that the two lists are two versions of the same text, and that the differences between them are merely minor textual variations, the </w:t>
      </w:r>
      <w:r w:rsidR="001F1E9E">
        <w:rPr>
          <w:rFonts w:asciiTheme="minorBidi" w:hAnsiTheme="minorBidi"/>
          <w:i/>
          <w:iCs/>
          <w:sz w:val="24"/>
          <w:szCs w:val="24"/>
        </w:rPr>
        <w:t xml:space="preserve">Tanakh </w:t>
      </w:r>
      <w:r w:rsidR="001F1E9E">
        <w:rPr>
          <w:rFonts w:asciiTheme="minorBidi" w:hAnsiTheme="minorBidi"/>
          <w:sz w:val="24"/>
          <w:szCs w:val="24"/>
        </w:rPr>
        <w:t xml:space="preserve">itself provides a different answer: In Joshua, the </w:t>
      </w:r>
      <w:r w:rsidR="001F1E9E">
        <w:rPr>
          <w:rFonts w:asciiTheme="minorBidi" w:hAnsiTheme="minorBidi"/>
          <w:i/>
          <w:iCs/>
          <w:sz w:val="24"/>
          <w:szCs w:val="24"/>
        </w:rPr>
        <w:t>Tanakh</w:t>
      </w:r>
      <w:r w:rsidR="001F1E9E">
        <w:rPr>
          <w:rFonts w:asciiTheme="minorBidi" w:hAnsiTheme="minorBidi"/>
          <w:sz w:val="24"/>
          <w:szCs w:val="24"/>
        </w:rPr>
        <w:t xml:space="preserve"> states that it is listing an </w:t>
      </w:r>
      <w:r w:rsidR="001F1E9E" w:rsidRPr="001F1E9E">
        <w:rPr>
          <w:rFonts w:asciiTheme="minorBidi" w:hAnsiTheme="minorBidi"/>
          <w:b/>
          <w:bCs/>
          <w:sz w:val="24"/>
          <w:szCs w:val="24"/>
        </w:rPr>
        <w:t>apportionment plan</w:t>
      </w:r>
      <w:r w:rsidR="001F1E9E">
        <w:rPr>
          <w:rFonts w:asciiTheme="minorBidi" w:hAnsiTheme="minorBidi"/>
          <w:sz w:val="24"/>
          <w:szCs w:val="24"/>
        </w:rPr>
        <w:t xml:space="preserve"> that was devised during the time the land was being settled, whereas in Chronicles it states that it is providing a </w:t>
      </w:r>
      <w:r w:rsidR="001F1E9E" w:rsidRPr="001F1E9E">
        <w:rPr>
          <w:rFonts w:asciiTheme="minorBidi" w:hAnsiTheme="minorBidi"/>
          <w:b/>
          <w:bCs/>
          <w:sz w:val="24"/>
          <w:szCs w:val="24"/>
        </w:rPr>
        <w:t>snapshot</w:t>
      </w:r>
      <w:r w:rsidR="001F1E9E">
        <w:rPr>
          <w:rFonts w:asciiTheme="minorBidi" w:hAnsiTheme="minorBidi"/>
          <w:sz w:val="24"/>
          <w:szCs w:val="24"/>
        </w:rPr>
        <w:t xml:space="preserve"> of the current state of the Levite cities </w:t>
      </w:r>
      <w:r w:rsidR="00405242">
        <w:rPr>
          <w:rFonts w:asciiTheme="minorBidi" w:hAnsiTheme="minorBidi"/>
          <w:sz w:val="24"/>
          <w:szCs w:val="24"/>
        </w:rPr>
        <w:t xml:space="preserve">from </w:t>
      </w:r>
      <w:r w:rsidR="001F1E9E">
        <w:rPr>
          <w:rFonts w:asciiTheme="minorBidi" w:hAnsiTheme="minorBidi"/>
          <w:sz w:val="24"/>
          <w:szCs w:val="24"/>
        </w:rPr>
        <w:t>generations later.</w:t>
      </w:r>
      <w:r w:rsidR="001F1E9E">
        <w:rPr>
          <w:rStyle w:val="FootnoteReference"/>
          <w:rFonts w:asciiTheme="minorBidi" w:hAnsiTheme="minorBidi"/>
          <w:sz w:val="24"/>
          <w:szCs w:val="24"/>
        </w:rPr>
        <w:footnoteReference w:id="13"/>
      </w:r>
    </w:p>
    <w:p w:rsidR="00405242" w:rsidRDefault="00405242" w:rsidP="00F6685D">
      <w:pPr>
        <w:spacing w:after="0" w:line="240" w:lineRule="auto"/>
        <w:jc w:val="both"/>
        <w:outlineLvl w:val="0"/>
        <w:rPr>
          <w:rFonts w:asciiTheme="minorBidi" w:hAnsiTheme="minorBidi"/>
          <w:sz w:val="24"/>
          <w:szCs w:val="24"/>
        </w:rPr>
      </w:pPr>
    </w:p>
    <w:p w:rsidR="00405242" w:rsidRPr="001F1E9E" w:rsidRDefault="00405242" w:rsidP="00F6685D">
      <w:pPr>
        <w:spacing w:after="0" w:line="240" w:lineRule="auto"/>
        <w:jc w:val="both"/>
        <w:outlineLvl w:val="0"/>
        <w:rPr>
          <w:rFonts w:asciiTheme="minorBidi" w:hAnsiTheme="minorBidi"/>
          <w:sz w:val="24"/>
          <w:szCs w:val="24"/>
        </w:rPr>
      </w:pPr>
      <w:r>
        <w:rPr>
          <w:rFonts w:asciiTheme="minorBidi" w:hAnsiTheme="minorBidi"/>
          <w:sz w:val="24"/>
          <w:szCs w:val="24"/>
        </w:rPr>
        <w:tab/>
        <w:t xml:space="preserve">The list of Levite cities is also a list of the tribes of Israel, as the verses point out which cities were given over to the Levites by each tribe. This leads us to an interesting discovery. In the list in Joshua, which, as we said, reflects the original plan for the territorial allotment, all twelve tribes of Israel are mentioned. However, in the list in Chronicles, the tribe of Dan is missing and Simeon is only mentioned in a summarizing note appended to the section on Judah (6:50). This effectively reflects the settlement status of these two tribes. Both Simeon and Dan are essentially subtenants of Judah and Ephraim. Presumably, there was not one city that was given over for the exclusive use of Simeon or Dan. From the official, schematic perspective of Joshua 21, both Simeon and Dan are mentioned. But from the practical perspective of Chronicles, Simeon and Dan are not landowners, and so are unable to give cities to the Levites from their territory. </w:t>
      </w:r>
      <w:r w:rsidR="00F24539">
        <w:rPr>
          <w:rFonts w:asciiTheme="minorBidi" w:hAnsiTheme="minorBidi"/>
          <w:sz w:val="24"/>
          <w:szCs w:val="24"/>
        </w:rPr>
        <w:t>As they themselves are “guests” in the home of another tribe, they certainly cannot invite new “guests” of their own.</w:t>
      </w:r>
    </w:p>
    <w:p w:rsidR="00A674E0" w:rsidRDefault="00A674E0" w:rsidP="00F6685D">
      <w:pPr>
        <w:spacing w:after="0" w:line="240" w:lineRule="auto"/>
        <w:jc w:val="both"/>
        <w:outlineLvl w:val="0"/>
        <w:rPr>
          <w:rFonts w:asciiTheme="minorBidi" w:hAnsiTheme="minorBidi"/>
          <w:sz w:val="24"/>
          <w:szCs w:val="24"/>
        </w:rPr>
      </w:pPr>
    </w:p>
    <w:p w:rsidR="00F24539" w:rsidRPr="00961B1F" w:rsidRDefault="00F24539" w:rsidP="00F6685D">
      <w:pPr>
        <w:spacing w:after="0" w:line="240" w:lineRule="auto"/>
        <w:jc w:val="both"/>
        <w:outlineLvl w:val="0"/>
        <w:rPr>
          <w:rFonts w:asciiTheme="minorBidi" w:hAnsiTheme="minorBidi"/>
          <w:sz w:val="24"/>
          <w:szCs w:val="24"/>
        </w:rPr>
      </w:pPr>
    </w:p>
    <w:p w:rsidR="002E5FA5" w:rsidRPr="000C1970" w:rsidRDefault="002E5FA5" w:rsidP="00F6685D">
      <w:pPr>
        <w:spacing w:after="0" w:line="240" w:lineRule="auto"/>
        <w:jc w:val="both"/>
        <w:outlineLvl w:val="0"/>
        <w:rPr>
          <w:rFonts w:asciiTheme="minorBidi" w:hAnsiTheme="minorBidi"/>
          <w:b/>
          <w:bCs/>
          <w:sz w:val="24"/>
          <w:szCs w:val="24"/>
        </w:rPr>
      </w:pPr>
      <w:r w:rsidRPr="000C1970">
        <w:rPr>
          <w:rFonts w:asciiTheme="minorBidi" w:hAnsiTheme="minorBidi"/>
          <w:b/>
          <w:bCs/>
          <w:sz w:val="24"/>
          <w:szCs w:val="24"/>
        </w:rPr>
        <w:t>For further study:</w:t>
      </w:r>
    </w:p>
    <w:p w:rsidR="00967A29" w:rsidRPr="00967A29" w:rsidRDefault="00967A29" w:rsidP="00F6685D">
      <w:pPr>
        <w:autoSpaceDE w:val="0"/>
        <w:autoSpaceDN w:val="0"/>
        <w:adjustRightInd w:val="0"/>
        <w:spacing w:after="0" w:line="240" w:lineRule="auto"/>
        <w:ind w:left="720" w:hanging="720"/>
        <w:jc w:val="both"/>
        <w:rPr>
          <w:rFonts w:asciiTheme="minorBidi" w:hAnsiTheme="minorBidi"/>
          <w:sz w:val="24"/>
          <w:szCs w:val="24"/>
        </w:rPr>
      </w:pPr>
    </w:p>
    <w:p w:rsidR="00F24539" w:rsidRDefault="00F24539" w:rsidP="00F6685D">
      <w:pPr>
        <w:autoSpaceDE w:val="0"/>
        <w:autoSpaceDN w:val="0"/>
        <w:adjustRightInd w:val="0"/>
        <w:spacing w:after="0" w:line="240" w:lineRule="auto"/>
        <w:ind w:left="720" w:hanging="720"/>
        <w:jc w:val="both"/>
        <w:rPr>
          <w:rFonts w:asciiTheme="minorBidi" w:hAnsiTheme="minorBidi"/>
          <w:sz w:val="24"/>
          <w:szCs w:val="24"/>
        </w:rPr>
      </w:pPr>
      <w:r>
        <w:rPr>
          <w:rFonts w:asciiTheme="minorBidi" w:hAnsiTheme="minorBidi"/>
          <w:sz w:val="24"/>
          <w:szCs w:val="24"/>
        </w:rPr>
        <w:t xml:space="preserve">A. Demsky, “The Boundary of the Tribe of Dan (Joshua 19:41-46),” </w:t>
      </w:r>
      <w:r>
        <w:rPr>
          <w:rFonts w:asciiTheme="minorBidi" w:hAnsiTheme="minorBidi"/>
          <w:i/>
          <w:iCs/>
          <w:sz w:val="24"/>
          <w:szCs w:val="24"/>
        </w:rPr>
        <w:t>Sefer Moshe: The Moshe Weinfeld Jubilee Volume</w:t>
      </w:r>
      <w:r>
        <w:rPr>
          <w:rFonts w:asciiTheme="minorBidi" w:hAnsiTheme="minorBidi"/>
          <w:sz w:val="24"/>
          <w:szCs w:val="24"/>
        </w:rPr>
        <w:t xml:space="preserve"> (eds. C. cohen, A. Hurvitz and S. M. Paul), Winona Lake, 2004, 261-284.</w:t>
      </w:r>
    </w:p>
    <w:p w:rsidR="00F24539" w:rsidRDefault="00F24539" w:rsidP="00F6685D">
      <w:pPr>
        <w:autoSpaceDE w:val="0"/>
        <w:autoSpaceDN w:val="0"/>
        <w:adjustRightInd w:val="0"/>
        <w:spacing w:after="0" w:line="240" w:lineRule="auto"/>
        <w:ind w:left="720" w:hanging="720"/>
        <w:jc w:val="both"/>
        <w:rPr>
          <w:rFonts w:asciiTheme="minorBidi" w:hAnsiTheme="minorBidi"/>
          <w:sz w:val="24"/>
          <w:szCs w:val="24"/>
        </w:rPr>
      </w:pPr>
    </w:p>
    <w:p w:rsidR="00F24539" w:rsidRDefault="00F24539" w:rsidP="00F6685D">
      <w:pPr>
        <w:autoSpaceDE w:val="0"/>
        <w:autoSpaceDN w:val="0"/>
        <w:adjustRightInd w:val="0"/>
        <w:spacing w:after="0" w:line="240" w:lineRule="auto"/>
        <w:ind w:left="720" w:hanging="720"/>
        <w:jc w:val="both"/>
        <w:rPr>
          <w:rFonts w:asciiTheme="minorBidi" w:hAnsiTheme="minorBidi"/>
          <w:sz w:val="24"/>
          <w:szCs w:val="24"/>
        </w:rPr>
      </w:pPr>
      <w:r>
        <w:rPr>
          <w:rFonts w:asciiTheme="minorBidi" w:hAnsiTheme="minorBidi"/>
          <w:sz w:val="24"/>
          <w:szCs w:val="24"/>
        </w:rPr>
        <w:t xml:space="preserve">Yoel Elitzur, </w:t>
      </w:r>
      <w:r>
        <w:rPr>
          <w:rFonts w:asciiTheme="minorBidi" w:hAnsiTheme="minorBidi"/>
          <w:i/>
          <w:iCs/>
          <w:sz w:val="24"/>
          <w:szCs w:val="24"/>
        </w:rPr>
        <w:t>Ancient Place Names in the Holy Land</w:t>
      </w:r>
      <w:r>
        <w:rPr>
          <w:rFonts w:asciiTheme="minorBidi" w:hAnsiTheme="minorBidi"/>
          <w:sz w:val="24"/>
          <w:szCs w:val="24"/>
        </w:rPr>
        <w:t>, Jerusalem-Winona Lake 2004,</w:t>
      </w:r>
      <w:r w:rsidR="001016C5">
        <w:rPr>
          <w:rFonts w:asciiTheme="minorBidi" w:hAnsiTheme="minorBidi"/>
          <w:sz w:val="24"/>
          <w:szCs w:val="24"/>
        </w:rPr>
        <w:t xml:space="preserve"> 111, 361</w:t>
      </w:r>
      <w:r>
        <w:rPr>
          <w:rFonts w:asciiTheme="minorBidi" w:hAnsiTheme="minorBidi"/>
          <w:sz w:val="24"/>
          <w:szCs w:val="24"/>
        </w:rPr>
        <w:t>.</w:t>
      </w:r>
    </w:p>
    <w:p w:rsidR="00A33626" w:rsidRDefault="00A33626" w:rsidP="00F6685D">
      <w:pPr>
        <w:autoSpaceDE w:val="0"/>
        <w:autoSpaceDN w:val="0"/>
        <w:adjustRightInd w:val="0"/>
        <w:spacing w:after="0" w:line="240" w:lineRule="auto"/>
        <w:ind w:left="720" w:hanging="720"/>
        <w:jc w:val="both"/>
        <w:rPr>
          <w:rFonts w:asciiTheme="minorBidi" w:hAnsiTheme="minorBidi"/>
          <w:sz w:val="24"/>
          <w:szCs w:val="24"/>
        </w:rPr>
      </w:pPr>
    </w:p>
    <w:p w:rsidR="00E13CC9" w:rsidRPr="00686646" w:rsidRDefault="002A4A75" w:rsidP="00F6685D">
      <w:pPr>
        <w:autoSpaceDE w:val="0"/>
        <w:autoSpaceDN w:val="0"/>
        <w:adjustRightInd w:val="0"/>
        <w:spacing w:after="0" w:line="240" w:lineRule="auto"/>
        <w:ind w:left="720" w:hanging="720"/>
        <w:jc w:val="both"/>
        <w:rPr>
          <w:rFonts w:asciiTheme="minorBidi" w:hAnsiTheme="minorBidi"/>
          <w:sz w:val="24"/>
          <w:szCs w:val="24"/>
        </w:rPr>
      </w:pPr>
      <w:r>
        <w:rPr>
          <w:rFonts w:asciiTheme="minorBidi" w:hAnsiTheme="minorBidi"/>
          <w:sz w:val="24"/>
          <w:szCs w:val="24"/>
        </w:rPr>
        <w:t>G. S. P. Freeman-Grenville, R. L. Chapman and J. Tailor,</w:t>
      </w:r>
      <w:r>
        <w:rPr>
          <w:rFonts w:asciiTheme="minorBidi" w:hAnsiTheme="minorBidi"/>
          <w:i/>
          <w:iCs/>
          <w:sz w:val="24"/>
          <w:szCs w:val="24"/>
        </w:rPr>
        <w:t xml:space="preserve"> The Onomasticon </w:t>
      </w:r>
      <w:r w:rsidRPr="002A4A75">
        <w:rPr>
          <w:rFonts w:asciiTheme="minorBidi" w:hAnsiTheme="minorBidi"/>
          <w:i/>
          <w:iCs/>
          <w:sz w:val="24"/>
          <w:szCs w:val="24"/>
        </w:rPr>
        <w:t>of Eusebius of Caesarea</w:t>
      </w:r>
      <w:r>
        <w:rPr>
          <w:rFonts w:asciiTheme="minorBidi" w:hAnsiTheme="minorBidi"/>
          <w:sz w:val="24"/>
          <w:szCs w:val="24"/>
        </w:rPr>
        <w:t xml:space="preserve">, Jerusalem 2003, 36, 52, 61, 62, 86, 87, 88. </w:t>
      </w:r>
    </w:p>
    <w:p w:rsidR="00692996" w:rsidRDefault="00692996" w:rsidP="00F6685D">
      <w:pPr>
        <w:autoSpaceDE w:val="0"/>
        <w:autoSpaceDN w:val="0"/>
        <w:adjustRightInd w:val="0"/>
        <w:spacing w:after="0" w:line="240" w:lineRule="auto"/>
        <w:ind w:left="720" w:hanging="720"/>
        <w:jc w:val="both"/>
        <w:rPr>
          <w:rFonts w:asciiTheme="minorBidi" w:hAnsiTheme="minorBidi"/>
          <w:sz w:val="24"/>
          <w:szCs w:val="24"/>
        </w:rPr>
      </w:pPr>
    </w:p>
    <w:p w:rsidR="00E13CC9" w:rsidRPr="00E13CC9" w:rsidRDefault="00E13CC9" w:rsidP="00F6685D">
      <w:pPr>
        <w:autoSpaceDE w:val="0"/>
        <w:autoSpaceDN w:val="0"/>
        <w:adjustRightInd w:val="0"/>
        <w:spacing w:after="0" w:line="240" w:lineRule="auto"/>
        <w:ind w:left="720" w:hanging="720"/>
        <w:jc w:val="both"/>
        <w:rPr>
          <w:rStyle w:val="Emphasis"/>
          <w:rFonts w:ascii="Arial" w:hAnsi="Arial" w:cs="Arial"/>
          <w:i w:val="0"/>
          <w:iCs w:val="0"/>
          <w:sz w:val="24"/>
          <w:szCs w:val="24"/>
          <w:shd w:val="clear" w:color="auto" w:fill="FFFFFF"/>
        </w:rPr>
      </w:pPr>
      <w:r>
        <w:rPr>
          <w:rFonts w:asciiTheme="minorBidi" w:hAnsiTheme="minorBidi"/>
          <w:sz w:val="24"/>
          <w:szCs w:val="24"/>
        </w:rPr>
        <w:t xml:space="preserve">V. </w:t>
      </w:r>
      <w:r w:rsidRPr="00CB79C8">
        <w:rPr>
          <w:rStyle w:val="Emphasis"/>
          <w:rFonts w:ascii="Arial" w:hAnsi="Arial" w:cs="Arial"/>
          <w:i w:val="0"/>
          <w:iCs w:val="0"/>
          <w:sz w:val="24"/>
          <w:szCs w:val="24"/>
          <w:shd w:val="clear" w:color="auto" w:fill="FFFFFF"/>
        </w:rPr>
        <w:t>Guérin</w:t>
      </w:r>
      <w:r>
        <w:rPr>
          <w:rStyle w:val="Emphasis"/>
          <w:rFonts w:ascii="Arial" w:hAnsi="Arial" w:cs="Arial"/>
          <w:i w:val="0"/>
          <w:iCs w:val="0"/>
          <w:sz w:val="24"/>
          <w:szCs w:val="24"/>
          <w:shd w:val="clear" w:color="auto" w:fill="FFFFFF"/>
        </w:rPr>
        <w:t xml:space="preserve">, </w:t>
      </w:r>
      <w:r w:rsidRPr="00E13CC9">
        <w:rPr>
          <w:rStyle w:val="Emphasis"/>
          <w:rFonts w:ascii="Arial" w:hAnsi="Arial" w:cs="Arial"/>
          <w:sz w:val="24"/>
          <w:szCs w:val="24"/>
          <w:shd w:val="clear" w:color="auto" w:fill="FFFFFF"/>
        </w:rPr>
        <w:t xml:space="preserve">Description </w:t>
      </w:r>
      <w:r>
        <w:rPr>
          <w:rStyle w:val="Emphasis"/>
          <w:rFonts w:ascii="Arial" w:hAnsi="Arial" w:cs="Arial"/>
          <w:sz w:val="24"/>
          <w:szCs w:val="24"/>
          <w:shd w:val="clear" w:color="auto" w:fill="FFFFFF"/>
        </w:rPr>
        <w:t>G</w:t>
      </w:r>
      <w:r w:rsidRPr="00E13CC9">
        <w:rPr>
          <w:rStyle w:val="Emphasis"/>
          <w:rFonts w:ascii="Arial" w:hAnsi="Arial" w:cs="Arial"/>
          <w:sz w:val="24"/>
          <w:szCs w:val="24"/>
          <w:shd w:val="clear" w:color="auto" w:fill="FFFFFF"/>
        </w:rPr>
        <w:t xml:space="preserve">éographique, </w:t>
      </w:r>
      <w:r>
        <w:rPr>
          <w:rStyle w:val="Emphasis"/>
          <w:rFonts w:ascii="Arial" w:hAnsi="Arial" w:cs="Arial"/>
          <w:sz w:val="24"/>
          <w:szCs w:val="24"/>
          <w:shd w:val="clear" w:color="auto" w:fill="FFFFFF"/>
        </w:rPr>
        <w:t>H</w:t>
      </w:r>
      <w:r w:rsidRPr="00E13CC9">
        <w:rPr>
          <w:rStyle w:val="Emphasis"/>
          <w:rFonts w:ascii="Arial" w:hAnsi="Arial" w:cs="Arial"/>
          <w:sz w:val="24"/>
          <w:szCs w:val="24"/>
          <w:shd w:val="clear" w:color="auto" w:fill="FFFFFF"/>
        </w:rPr>
        <w:t>istorique et</w:t>
      </w:r>
      <w:r>
        <w:rPr>
          <w:rStyle w:val="Emphasis"/>
          <w:rFonts w:ascii="Arial" w:hAnsi="Arial" w:cs="Arial"/>
          <w:sz w:val="24"/>
          <w:szCs w:val="24"/>
          <w:shd w:val="clear" w:color="auto" w:fill="FFFFFF"/>
        </w:rPr>
        <w:t xml:space="preserve"> A</w:t>
      </w:r>
      <w:r w:rsidRPr="00E13CC9">
        <w:rPr>
          <w:rStyle w:val="Emphasis"/>
          <w:rFonts w:ascii="Arial" w:hAnsi="Arial" w:cs="Arial"/>
          <w:sz w:val="24"/>
          <w:szCs w:val="24"/>
          <w:shd w:val="clear" w:color="auto" w:fill="FFFFFF"/>
        </w:rPr>
        <w:t>rchéologique de la Palestine</w:t>
      </w:r>
      <w:r w:rsidR="00D8041A">
        <w:rPr>
          <w:rStyle w:val="Emphasis"/>
          <w:rFonts w:ascii="Arial" w:hAnsi="Arial" w:cs="Arial"/>
          <w:i w:val="0"/>
          <w:iCs w:val="0"/>
          <w:sz w:val="24"/>
          <w:szCs w:val="24"/>
          <w:shd w:val="clear" w:color="auto" w:fill="FFFFFF"/>
        </w:rPr>
        <w:t xml:space="preserve">, II, </w:t>
      </w:r>
      <w:r w:rsidR="00967A29">
        <w:rPr>
          <w:rStyle w:val="Emphasis"/>
          <w:rFonts w:ascii="Arial" w:hAnsi="Arial" w:cs="Arial"/>
          <w:i w:val="0"/>
          <w:iCs w:val="0"/>
          <w:sz w:val="24"/>
          <w:szCs w:val="24"/>
          <w:shd w:val="clear" w:color="auto" w:fill="FFFFFF"/>
        </w:rPr>
        <w:t xml:space="preserve">Paris </w:t>
      </w:r>
      <w:r w:rsidR="00D8041A" w:rsidRPr="00E13CC9">
        <w:rPr>
          <w:rStyle w:val="Emphasis"/>
          <w:rFonts w:ascii="Arial" w:hAnsi="Arial" w:cs="Arial"/>
          <w:i w:val="0"/>
          <w:iCs w:val="0"/>
          <w:sz w:val="24"/>
          <w:szCs w:val="24"/>
          <w:shd w:val="clear" w:color="auto" w:fill="FFFFFF"/>
        </w:rPr>
        <w:t>186</w:t>
      </w:r>
      <w:r w:rsidR="00D8041A">
        <w:rPr>
          <w:rStyle w:val="Emphasis"/>
          <w:rFonts w:ascii="Arial" w:hAnsi="Arial" w:cs="Arial"/>
          <w:i w:val="0"/>
          <w:iCs w:val="0"/>
          <w:sz w:val="24"/>
          <w:szCs w:val="24"/>
          <w:shd w:val="clear" w:color="auto" w:fill="FFFFFF"/>
        </w:rPr>
        <w:t>9</w:t>
      </w:r>
      <w:r w:rsidRPr="00E13CC9">
        <w:rPr>
          <w:rStyle w:val="Emphasis"/>
          <w:rFonts w:ascii="Arial" w:hAnsi="Arial" w:cs="Arial"/>
          <w:i w:val="0"/>
          <w:iCs w:val="0"/>
          <w:sz w:val="24"/>
          <w:szCs w:val="24"/>
          <w:shd w:val="clear" w:color="auto" w:fill="FFFFFF"/>
        </w:rPr>
        <w:t>,</w:t>
      </w:r>
      <w:r w:rsidR="00967A29">
        <w:rPr>
          <w:rStyle w:val="Emphasis"/>
          <w:rFonts w:ascii="Arial" w:hAnsi="Arial" w:cs="Arial"/>
          <w:i w:val="0"/>
          <w:iCs w:val="0"/>
          <w:sz w:val="24"/>
          <w:szCs w:val="24"/>
          <w:shd w:val="clear" w:color="auto" w:fill="FFFFFF"/>
        </w:rPr>
        <w:t xml:space="preserve"> 382 [French].</w:t>
      </w:r>
      <w:r w:rsidRPr="00E13CC9">
        <w:rPr>
          <w:rStyle w:val="Emphasis"/>
          <w:rFonts w:ascii="Arial" w:hAnsi="Arial" w:cs="Arial"/>
          <w:i w:val="0"/>
          <w:iCs w:val="0"/>
          <w:sz w:val="24"/>
          <w:szCs w:val="24"/>
          <w:shd w:val="clear" w:color="auto" w:fill="FFFFFF"/>
        </w:rPr>
        <w:t xml:space="preserve"> </w:t>
      </w:r>
    </w:p>
    <w:p w:rsidR="00E13CC9" w:rsidRPr="00E13CC9" w:rsidRDefault="00E13CC9" w:rsidP="00F6685D">
      <w:pPr>
        <w:autoSpaceDE w:val="0"/>
        <w:autoSpaceDN w:val="0"/>
        <w:adjustRightInd w:val="0"/>
        <w:spacing w:after="0" w:line="240" w:lineRule="auto"/>
        <w:ind w:left="720" w:hanging="720"/>
        <w:jc w:val="both"/>
        <w:rPr>
          <w:rStyle w:val="Emphasis"/>
          <w:rFonts w:ascii="Arial" w:hAnsi="Arial" w:cs="Arial"/>
          <w:i w:val="0"/>
          <w:iCs w:val="0"/>
          <w:sz w:val="24"/>
          <w:szCs w:val="24"/>
          <w:shd w:val="clear" w:color="auto" w:fill="FFFFFF"/>
        </w:rPr>
      </w:pPr>
    </w:p>
    <w:p w:rsidR="00F24539" w:rsidRDefault="00F24539" w:rsidP="00F6685D">
      <w:pPr>
        <w:autoSpaceDE w:val="0"/>
        <w:autoSpaceDN w:val="0"/>
        <w:adjustRightInd w:val="0"/>
        <w:spacing w:after="0" w:line="240" w:lineRule="auto"/>
        <w:ind w:left="720" w:hanging="720"/>
        <w:jc w:val="both"/>
        <w:rPr>
          <w:rFonts w:asciiTheme="minorBidi" w:hAnsiTheme="minorBidi"/>
          <w:sz w:val="24"/>
          <w:szCs w:val="24"/>
        </w:rPr>
      </w:pPr>
      <w:r>
        <w:rPr>
          <w:rFonts w:asciiTheme="minorBidi" w:hAnsiTheme="minorBidi"/>
          <w:sz w:val="24"/>
          <w:szCs w:val="24"/>
        </w:rPr>
        <w:t xml:space="preserve">R. Ishtori Haparchi, </w:t>
      </w:r>
      <w:r>
        <w:rPr>
          <w:rFonts w:asciiTheme="minorBidi" w:hAnsiTheme="minorBidi"/>
          <w:i/>
          <w:iCs/>
          <w:sz w:val="24"/>
          <w:szCs w:val="24"/>
        </w:rPr>
        <w:t>Kaftor Va-ferach</w:t>
      </w:r>
      <w:r>
        <w:rPr>
          <w:rFonts w:asciiTheme="minorBidi" w:hAnsiTheme="minorBidi"/>
          <w:sz w:val="24"/>
          <w:szCs w:val="24"/>
        </w:rPr>
        <w:t>, ed. Lunz, Jerusalem 1897, 302 [Hebrew].</w:t>
      </w:r>
    </w:p>
    <w:p w:rsidR="00F24539" w:rsidRDefault="00F24539" w:rsidP="00F6685D">
      <w:pPr>
        <w:autoSpaceDE w:val="0"/>
        <w:autoSpaceDN w:val="0"/>
        <w:adjustRightInd w:val="0"/>
        <w:spacing w:after="0" w:line="240" w:lineRule="auto"/>
        <w:ind w:left="720" w:hanging="720"/>
        <w:jc w:val="both"/>
        <w:rPr>
          <w:rFonts w:asciiTheme="minorBidi" w:hAnsiTheme="minorBidi"/>
          <w:sz w:val="24"/>
          <w:szCs w:val="24"/>
        </w:rPr>
      </w:pPr>
    </w:p>
    <w:p w:rsidR="00204F6C" w:rsidRDefault="00204F6C" w:rsidP="00F6685D">
      <w:pPr>
        <w:autoSpaceDE w:val="0"/>
        <w:autoSpaceDN w:val="0"/>
        <w:adjustRightInd w:val="0"/>
        <w:spacing w:after="0" w:line="240" w:lineRule="auto"/>
        <w:jc w:val="both"/>
        <w:rPr>
          <w:rFonts w:asciiTheme="minorBidi" w:hAnsiTheme="minorBidi"/>
          <w:sz w:val="24"/>
          <w:szCs w:val="24"/>
        </w:rPr>
      </w:pPr>
      <w:r>
        <w:rPr>
          <w:rFonts w:asciiTheme="minorBidi" w:hAnsiTheme="minorBidi"/>
          <w:sz w:val="24"/>
          <w:szCs w:val="24"/>
        </w:rPr>
        <w:t xml:space="preserve">W. L. Moran, </w:t>
      </w:r>
      <w:r>
        <w:rPr>
          <w:rFonts w:asciiTheme="minorBidi" w:hAnsiTheme="minorBidi"/>
          <w:i/>
          <w:iCs/>
          <w:sz w:val="24"/>
          <w:szCs w:val="24"/>
        </w:rPr>
        <w:t>The Amarna Letters</w:t>
      </w:r>
      <w:r>
        <w:rPr>
          <w:rFonts w:asciiTheme="minorBidi" w:hAnsiTheme="minorBidi"/>
          <w:sz w:val="24"/>
          <w:szCs w:val="24"/>
        </w:rPr>
        <w:t>, Baltimore-London 1992, Letter 273.</w:t>
      </w:r>
    </w:p>
    <w:p w:rsidR="00E13CC9" w:rsidRPr="00E13CC9" w:rsidRDefault="00E13CC9" w:rsidP="00F6685D">
      <w:pPr>
        <w:autoSpaceDE w:val="0"/>
        <w:autoSpaceDN w:val="0"/>
        <w:adjustRightInd w:val="0"/>
        <w:spacing w:after="0" w:line="240" w:lineRule="auto"/>
        <w:ind w:left="720" w:hanging="720"/>
        <w:jc w:val="both"/>
        <w:rPr>
          <w:rFonts w:asciiTheme="minorBidi" w:hAnsiTheme="minorBidi"/>
          <w:sz w:val="24"/>
          <w:szCs w:val="24"/>
        </w:rPr>
      </w:pPr>
    </w:p>
    <w:p w:rsidR="00F24539" w:rsidRPr="00F24539" w:rsidRDefault="00F24539" w:rsidP="00F6685D">
      <w:pPr>
        <w:autoSpaceDE w:val="0"/>
        <w:autoSpaceDN w:val="0"/>
        <w:adjustRightInd w:val="0"/>
        <w:spacing w:after="0" w:line="240" w:lineRule="auto"/>
        <w:ind w:left="720" w:hanging="720"/>
        <w:jc w:val="both"/>
        <w:rPr>
          <w:rFonts w:asciiTheme="minorBidi" w:hAnsiTheme="minorBidi"/>
          <w:sz w:val="24"/>
          <w:szCs w:val="24"/>
        </w:rPr>
      </w:pPr>
      <w:r>
        <w:rPr>
          <w:rFonts w:asciiTheme="minorBidi" w:hAnsiTheme="minorBidi"/>
          <w:sz w:val="24"/>
          <w:szCs w:val="24"/>
        </w:rPr>
        <w:lastRenderedPageBreak/>
        <w:t xml:space="preserve">R. Joseph Schwarz, </w:t>
      </w:r>
      <w:r>
        <w:rPr>
          <w:rFonts w:asciiTheme="minorBidi" w:hAnsiTheme="minorBidi"/>
          <w:i/>
          <w:iCs/>
          <w:sz w:val="24"/>
          <w:szCs w:val="24"/>
        </w:rPr>
        <w:t>Tevu’ot Ha-aretz</w:t>
      </w:r>
      <w:r>
        <w:rPr>
          <w:rFonts w:asciiTheme="minorBidi" w:hAnsiTheme="minorBidi"/>
          <w:sz w:val="24"/>
          <w:szCs w:val="24"/>
        </w:rPr>
        <w:t xml:space="preserve">, </w:t>
      </w:r>
      <w:r w:rsidR="00DB45DC">
        <w:rPr>
          <w:rFonts w:asciiTheme="minorBidi" w:hAnsiTheme="minorBidi"/>
          <w:sz w:val="24"/>
          <w:szCs w:val="24"/>
        </w:rPr>
        <w:t xml:space="preserve">ed. Lunz, </w:t>
      </w:r>
      <w:r>
        <w:rPr>
          <w:rFonts w:asciiTheme="minorBidi" w:hAnsiTheme="minorBidi"/>
          <w:sz w:val="24"/>
          <w:szCs w:val="24"/>
        </w:rPr>
        <w:t xml:space="preserve">Jerusalem (1845) 1968, </w:t>
      </w:r>
      <w:r w:rsidR="00E13CC9">
        <w:rPr>
          <w:rFonts w:asciiTheme="minorBidi" w:hAnsiTheme="minorBidi"/>
          <w:sz w:val="24"/>
          <w:szCs w:val="24"/>
        </w:rPr>
        <w:t>121 [Hebrew].</w:t>
      </w:r>
    </w:p>
    <w:p w:rsidR="007940BA" w:rsidRPr="007940BA" w:rsidRDefault="007940BA" w:rsidP="00F6685D">
      <w:pPr>
        <w:autoSpaceDE w:val="0"/>
        <w:autoSpaceDN w:val="0"/>
        <w:adjustRightInd w:val="0"/>
        <w:spacing w:after="0" w:line="240" w:lineRule="auto"/>
        <w:ind w:left="720" w:hanging="720"/>
        <w:jc w:val="both"/>
        <w:rPr>
          <w:rFonts w:asciiTheme="minorBidi" w:hAnsiTheme="minorBidi"/>
          <w:sz w:val="24"/>
          <w:szCs w:val="24"/>
        </w:rPr>
      </w:pPr>
    </w:p>
    <w:p w:rsidR="00BD2257" w:rsidRPr="00BD2257" w:rsidRDefault="00BD2257" w:rsidP="00F6685D">
      <w:pPr>
        <w:autoSpaceDE w:val="0"/>
        <w:autoSpaceDN w:val="0"/>
        <w:adjustRightInd w:val="0"/>
        <w:spacing w:after="0" w:line="240" w:lineRule="auto"/>
        <w:ind w:left="720" w:hanging="720"/>
        <w:jc w:val="both"/>
        <w:rPr>
          <w:rFonts w:asciiTheme="minorBidi" w:hAnsiTheme="minorBidi"/>
          <w:sz w:val="24"/>
          <w:szCs w:val="24"/>
        </w:rPr>
      </w:pPr>
    </w:p>
    <w:p w:rsidR="00C53D8E" w:rsidRPr="000C1970" w:rsidRDefault="00C53D8E" w:rsidP="00F6685D">
      <w:pPr>
        <w:spacing w:after="0" w:line="240" w:lineRule="auto"/>
        <w:jc w:val="both"/>
        <w:rPr>
          <w:rFonts w:asciiTheme="minorBidi" w:hAnsiTheme="minorBidi"/>
          <w:sz w:val="24"/>
          <w:szCs w:val="24"/>
          <w:rtl/>
        </w:rPr>
      </w:pPr>
      <w:r w:rsidRPr="000C1970">
        <w:rPr>
          <w:rFonts w:asciiTheme="minorBidi" w:hAnsiTheme="minorBidi"/>
          <w:sz w:val="24"/>
          <w:szCs w:val="24"/>
        </w:rPr>
        <w:t>Translated by Daniel Landman</w:t>
      </w:r>
    </w:p>
    <w:sectPr w:rsidR="00C53D8E" w:rsidRPr="000C1970" w:rsidSect="00C016C3">
      <w:pgSz w:w="11909" w:h="16834" w:code="9"/>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5CFB" w:rsidRDefault="00D95CFB" w:rsidP="00F94FA1">
      <w:pPr>
        <w:spacing w:after="0" w:line="240" w:lineRule="auto"/>
      </w:pPr>
      <w:r>
        <w:separator/>
      </w:r>
    </w:p>
  </w:endnote>
  <w:endnote w:type="continuationSeparator" w:id="0">
    <w:p w:rsidR="00D95CFB" w:rsidRDefault="00D95CFB" w:rsidP="00F94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5CFB" w:rsidRDefault="00D95CFB" w:rsidP="00F94FA1">
      <w:pPr>
        <w:spacing w:after="0" w:line="240" w:lineRule="auto"/>
      </w:pPr>
      <w:r>
        <w:separator/>
      </w:r>
    </w:p>
  </w:footnote>
  <w:footnote w:type="continuationSeparator" w:id="0">
    <w:p w:rsidR="00D95CFB" w:rsidRDefault="00D95CFB" w:rsidP="00F94FA1">
      <w:pPr>
        <w:spacing w:after="0" w:line="240" w:lineRule="auto"/>
      </w:pPr>
      <w:r>
        <w:continuationSeparator/>
      </w:r>
    </w:p>
  </w:footnote>
  <w:footnote w:id="1">
    <w:p w:rsidR="0076775D" w:rsidRPr="00192896" w:rsidRDefault="0076775D" w:rsidP="00F6685D">
      <w:pPr>
        <w:pStyle w:val="FootnoteText"/>
        <w:spacing w:line="240" w:lineRule="auto"/>
      </w:pPr>
      <w:r>
        <w:rPr>
          <w:rStyle w:val="FootnoteReference"/>
        </w:rPr>
        <w:footnoteRef/>
      </w:r>
      <w:r>
        <w:t xml:space="preserve"> See our discussion on </w:t>
      </w:r>
      <w:r>
        <w:rPr>
          <w:i/>
          <w:iCs/>
        </w:rPr>
        <w:t>Parashat Shemot</w:t>
      </w:r>
      <w:r>
        <w:t>.</w:t>
      </w:r>
    </w:p>
  </w:footnote>
  <w:footnote w:id="2">
    <w:p w:rsidR="0076775D" w:rsidRPr="00192896" w:rsidRDefault="0076775D" w:rsidP="00F6685D">
      <w:pPr>
        <w:pStyle w:val="FootnoteText"/>
        <w:spacing w:line="240" w:lineRule="auto"/>
      </w:pPr>
      <w:r>
        <w:rPr>
          <w:rStyle w:val="FootnoteReference"/>
        </w:rPr>
        <w:footnoteRef/>
      </w:r>
      <w:r>
        <w:t xml:space="preserve"> The pronunciation of Sar’a matches the name’s pronunciation as recorded in the Amarna letter, as well as that of the Septuagint: </w:t>
      </w:r>
      <w:r w:rsidRPr="00192896">
        <w:rPr>
          <w:i/>
          <w:iCs/>
        </w:rPr>
        <w:t>Saraa</w:t>
      </w:r>
      <w:r>
        <w:t>.</w:t>
      </w:r>
    </w:p>
  </w:footnote>
  <w:footnote w:id="3">
    <w:p w:rsidR="0076775D" w:rsidRDefault="0076775D" w:rsidP="00F6685D">
      <w:pPr>
        <w:pStyle w:val="FootnoteText"/>
        <w:spacing w:line="240" w:lineRule="auto"/>
      </w:pPr>
      <w:r>
        <w:rPr>
          <w:rStyle w:val="FootnoteReference"/>
        </w:rPr>
        <w:footnoteRef/>
      </w:r>
      <w:r>
        <w:t xml:space="preserve"> The site is known as Sheikh es-Samet. </w:t>
      </w:r>
    </w:p>
  </w:footnote>
  <w:footnote w:id="4">
    <w:p w:rsidR="0076775D" w:rsidRPr="00D85957" w:rsidRDefault="0076775D" w:rsidP="00F6685D">
      <w:pPr>
        <w:pStyle w:val="FootnoteText"/>
        <w:spacing w:line="240" w:lineRule="auto"/>
      </w:pPr>
      <w:r>
        <w:rPr>
          <w:rStyle w:val="FootnoteReference"/>
        </w:rPr>
        <w:footnoteRef/>
      </w:r>
      <w:r>
        <w:t xml:space="preserve"> See our discussion on </w:t>
      </w:r>
      <w:r>
        <w:rPr>
          <w:i/>
          <w:iCs/>
        </w:rPr>
        <w:t>Parashat Yitro</w:t>
      </w:r>
      <w:r>
        <w:t>.</w:t>
      </w:r>
    </w:p>
  </w:footnote>
  <w:footnote w:id="5">
    <w:p w:rsidR="0076775D" w:rsidRDefault="0076775D" w:rsidP="00F6685D">
      <w:pPr>
        <w:pStyle w:val="FootnoteText"/>
        <w:spacing w:line="240" w:lineRule="auto"/>
      </w:pPr>
      <w:r>
        <w:rPr>
          <w:rStyle w:val="FootnoteReference"/>
        </w:rPr>
        <w:footnoteRef/>
      </w:r>
      <w:r>
        <w:t xml:space="preserve"> </w:t>
      </w:r>
      <w:r w:rsidR="00686646">
        <w:t xml:space="preserve">See </w:t>
      </w:r>
      <w:r w:rsidRPr="00686646">
        <w:t>Map 3</w:t>
      </w:r>
      <w:r w:rsidR="00686646">
        <w:rPr>
          <w:rFonts w:hint="cs"/>
          <w:rtl/>
        </w:rPr>
        <w:t>7</w:t>
      </w:r>
      <w:r w:rsidR="00686646">
        <w:t xml:space="preserve"> below.</w:t>
      </w:r>
    </w:p>
  </w:footnote>
  <w:footnote w:id="6">
    <w:p w:rsidR="0076775D" w:rsidRDefault="0076775D" w:rsidP="00F6685D">
      <w:pPr>
        <w:pStyle w:val="FootnoteText"/>
        <w:spacing w:line="240" w:lineRule="auto"/>
      </w:pPr>
      <w:r>
        <w:rPr>
          <w:rStyle w:val="FootnoteReference"/>
        </w:rPr>
        <w:footnoteRef/>
      </w:r>
      <w:r>
        <w:t xml:space="preserve"> In Jerome’s edition: “Iermucha.”</w:t>
      </w:r>
    </w:p>
  </w:footnote>
  <w:footnote w:id="7">
    <w:p w:rsidR="0076775D" w:rsidRDefault="0076775D" w:rsidP="00F6685D">
      <w:pPr>
        <w:pStyle w:val="FootnoteText"/>
        <w:spacing w:line="240" w:lineRule="auto"/>
      </w:pPr>
      <w:r>
        <w:rPr>
          <w:rStyle w:val="FootnoteReference"/>
        </w:rPr>
        <w:footnoteRef/>
      </w:r>
      <w:r>
        <w:t xml:space="preserve"> It is a shame that this new city was not named Yarmut, as this was the original historic name for the site.</w:t>
      </w:r>
    </w:p>
  </w:footnote>
  <w:footnote w:id="8">
    <w:p w:rsidR="0076775D" w:rsidRDefault="0076775D" w:rsidP="00F6685D">
      <w:pPr>
        <w:pStyle w:val="FootnoteText"/>
        <w:spacing w:line="240" w:lineRule="auto"/>
      </w:pPr>
      <w:r>
        <w:rPr>
          <w:rStyle w:val="FootnoteReference"/>
        </w:rPr>
        <w:footnoteRef/>
      </w:r>
      <w:r>
        <w:t xml:space="preserve"> Once it is written as “</w:t>
      </w:r>
      <w:r w:rsidRPr="00B55D18">
        <w:rPr>
          <w:rFonts w:cstheme="minorBidi"/>
        </w:rPr>
        <w:t>Sōrēk</w:t>
      </w:r>
      <w:r>
        <w:rPr>
          <w:rFonts w:cstheme="minorBidi"/>
        </w:rPr>
        <w:t>” (Jerome: “Sorec”); a second time in the Greek manuscript it is written incorrectly as “Bar</w:t>
      </w:r>
      <w:r w:rsidRPr="00B55D18">
        <w:rPr>
          <w:rFonts w:cstheme="minorBidi"/>
        </w:rPr>
        <w:t>ē</w:t>
      </w:r>
      <w:r>
        <w:rPr>
          <w:rFonts w:cstheme="minorBidi"/>
        </w:rPr>
        <w:t>ch” (Jerome: “Cafarsorech”).</w:t>
      </w:r>
    </w:p>
  </w:footnote>
  <w:footnote w:id="9">
    <w:p w:rsidR="0076775D" w:rsidRPr="00A1034D" w:rsidRDefault="0076775D" w:rsidP="00F6685D">
      <w:pPr>
        <w:pStyle w:val="FootnoteText"/>
        <w:spacing w:line="240" w:lineRule="auto"/>
      </w:pPr>
      <w:r>
        <w:rPr>
          <w:rStyle w:val="FootnoteReference"/>
        </w:rPr>
        <w:footnoteRef/>
      </w:r>
      <w:r>
        <w:t xml:space="preserve"> See </w:t>
      </w:r>
      <w:r>
        <w:rPr>
          <w:i/>
          <w:iCs/>
        </w:rPr>
        <w:t xml:space="preserve">Seder Olam </w:t>
      </w:r>
      <w:r>
        <w:t xml:space="preserve">12 and </w:t>
      </w:r>
      <w:r>
        <w:rPr>
          <w:i/>
          <w:iCs/>
        </w:rPr>
        <w:t>Bava Batra</w:t>
      </w:r>
      <w:r>
        <w:t xml:space="preserve"> 109b and parallels.</w:t>
      </w:r>
    </w:p>
  </w:footnote>
  <w:footnote w:id="10">
    <w:p w:rsidR="0076775D" w:rsidRDefault="0076775D" w:rsidP="00F6685D">
      <w:pPr>
        <w:pStyle w:val="FootnoteText"/>
        <w:spacing w:line="240" w:lineRule="auto"/>
      </w:pPr>
      <w:r>
        <w:rPr>
          <w:rStyle w:val="FootnoteReference"/>
        </w:rPr>
        <w:footnoteRef/>
      </w:r>
      <w:r>
        <w:t xml:space="preserve"> The reason for this reversed order is that in the book of Judges, two long narratives were added to the end of the book – after the normal chronology of the period of the Judges was completed – to illustrate the low spiritual and national state of the nation in those days.</w:t>
      </w:r>
    </w:p>
  </w:footnote>
  <w:footnote w:id="11">
    <w:p w:rsidR="0076775D" w:rsidRDefault="0076775D" w:rsidP="00F6685D">
      <w:pPr>
        <w:pStyle w:val="FootnoteText"/>
        <w:spacing w:line="240" w:lineRule="auto"/>
      </w:pPr>
      <w:r>
        <w:rPr>
          <w:rStyle w:val="FootnoteReference"/>
        </w:rPr>
        <w:footnoteRef/>
      </w:r>
      <w:r>
        <w:t xml:space="preserve"> The exact interpretation of this verse is debated among the commentators, but it may be that the verse actually adds a sixth owner of Aijalon – </w:t>
      </w:r>
      <w:r w:rsidRPr="00504659">
        <w:rPr>
          <w:b/>
          <w:bCs/>
        </w:rPr>
        <w:t>the inhabitants of Gath</w:t>
      </w:r>
      <w:r>
        <w:t xml:space="preserve"> (either Canaanites or Philistines).</w:t>
      </w:r>
    </w:p>
  </w:footnote>
  <w:footnote w:id="12">
    <w:p w:rsidR="006A278E" w:rsidRPr="006A278E" w:rsidRDefault="006A278E" w:rsidP="00F6685D">
      <w:pPr>
        <w:pStyle w:val="FootnoteText"/>
        <w:spacing w:line="240" w:lineRule="auto"/>
      </w:pPr>
      <w:r>
        <w:rPr>
          <w:rStyle w:val="FootnoteReference"/>
        </w:rPr>
        <w:footnoteRef/>
      </w:r>
      <w:r>
        <w:t xml:space="preserve"> In </w:t>
      </w:r>
      <w:r>
        <w:rPr>
          <w:i/>
          <w:iCs/>
        </w:rPr>
        <w:t>Yerushalmi</w:t>
      </w:r>
      <w:r>
        <w:t xml:space="preserve"> </w:t>
      </w:r>
      <w:r>
        <w:rPr>
          <w:i/>
          <w:iCs/>
        </w:rPr>
        <w:t xml:space="preserve">Megilla </w:t>
      </w:r>
      <w:r>
        <w:t xml:space="preserve">1:1, </w:t>
      </w:r>
      <w:r>
        <w:rPr>
          <w:i/>
          <w:iCs/>
        </w:rPr>
        <w:t xml:space="preserve">Chazal </w:t>
      </w:r>
      <w:r>
        <w:t xml:space="preserve">addressed this matter, using this as a support for the position of Rabbi Jose son of Hanina that the book of Joshua only enumerated cities that were near the borders; see our discussion of </w:t>
      </w:r>
      <w:r>
        <w:rPr>
          <w:i/>
          <w:iCs/>
        </w:rPr>
        <w:t>Parashat Behar</w:t>
      </w:r>
      <w:r>
        <w:t>.</w:t>
      </w:r>
    </w:p>
  </w:footnote>
  <w:footnote w:id="13">
    <w:p w:rsidR="001F1E9E" w:rsidRPr="001F1E9E" w:rsidRDefault="001F1E9E" w:rsidP="00F6685D">
      <w:pPr>
        <w:pStyle w:val="FootnoteText"/>
        <w:spacing w:line="240" w:lineRule="auto"/>
      </w:pPr>
      <w:r>
        <w:rPr>
          <w:rStyle w:val="FootnoteReference"/>
        </w:rPr>
        <w:footnoteRef/>
      </w:r>
      <w:r>
        <w:t xml:space="preserve"> </w:t>
      </w:r>
      <w:r w:rsidR="00735F2A">
        <w:t xml:space="preserve">In </w:t>
      </w:r>
      <w:r>
        <w:t xml:space="preserve">our discussion on </w:t>
      </w:r>
      <w:r>
        <w:rPr>
          <w:i/>
          <w:iCs/>
        </w:rPr>
        <w:t>Parashat Masei</w:t>
      </w:r>
      <w:r w:rsidR="00405242">
        <w:t>, I</w:t>
      </w:r>
      <w:r w:rsidR="00735F2A">
        <w:t xml:space="preserve"> will</w:t>
      </w:r>
      <w:r w:rsidR="00405242">
        <w:t xml:space="preserve"> expand on this matter</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A0E5D"/>
    <w:multiLevelType w:val="hybridMultilevel"/>
    <w:tmpl w:val="556A5B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8A68B6"/>
    <w:multiLevelType w:val="hybridMultilevel"/>
    <w:tmpl w:val="5E463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AF4363"/>
    <w:multiLevelType w:val="hybridMultilevel"/>
    <w:tmpl w:val="C484881E"/>
    <w:lvl w:ilvl="0" w:tplc="700020B6">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4C0773"/>
    <w:multiLevelType w:val="hybridMultilevel"/>
    <w:tmpl w:val="C30AFAC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C22642"/>
    <w:multiLevelType w:val="hybridMultilevel"/>
    <w:tmpl w:val="7EE4895A"/>
    <w:lvl w:ilvl="0" w:tplc="522CEA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1950A55"/>
    <w:multiLevelType w:val="hybridMultilevel"/>
    <w:tmpl w:val="5E9C06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41F6CF0"/>
    <w:multiLevelType w:val="hybridMultilevel"/>
    <w:tmpl w:val="9AAE9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7EB2AF5"/>
    <w:multiLevelType w:val="hybridMultilevel"/>
    <w:tmpl w:val="C8A604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BF47560"/>
    <w:multiLevelType w:val="hybridMultilevel"/>
    <w:tmpl w:val="D7CEB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39E7B01"/>
    <w:multiLevelType w:val="hybridMultilevel"/>
    <w:tmpl w:val="9CC830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5D85253"/>
    <w:multiLevelType w:val="hybridMultilevel"/>
    <w:tmpl w:val="7794D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C93189E"/>
    <w:multiLevelType w:val="hybridMultilevel"/>
    <w:tmpl w:val="CAC0C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07473CA"/>
    <w:multiLevelType w:val="hybridMultilevel"/>
    <w:tmpl w:val="26C0EE54"/>
    <w:lvl w:ilvl="0" w:tplc="48D43E44">
      <w:start w:val="1"/>
      <w:numFmt w:val="decimal"/>
      <w:lvlText w:val="%1."/>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5A20ABB"/>
    <w:multiLevelType w:val="hybridMultilevel"/>
    <w:tmpl w:val="6B5C2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7AD096D"/>
    <w:multiLevelType w:val="hybridMultilevel"/>
    <w:tmpl w:val="9B824C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F704381"/>
    <w:multiLevelType w:val="hybridMultilevel"/>
    <w:tmpl w:val="D772D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FF243C0"/>
    <w:multiLevelType w:val="hybridMultilevel"/>
    <w:tmpl w:val="E41209E8"/>
    <w:lvl w:ilvl="0" w:tplc="9F7008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4"/>
  </w:num>
  <w:num w:numId="3">
    <w:abstractNumId w:val="2"/>
  </w:num>
  <w:num w:numId="4">
    <w:abstractNumId w:val="12"/>
  </w:num>
  <w:num w:numId="5">
    <w:abstractNumId w:val="1"/>
  </w:num>
  <w:num w:numId="6">
    <w:abstractNumId w:val="16"/>
  </w:num>
  <w:num w:numId="7">
    <w:abstractNumId w:val="9"/>
  </w:num>
  <w:num w:numId="8">
    <w:abstractNumId w:val="10"/>
  </w:num>
  <w:num w:numId="9">
    <w:abstractNumId w:val="7"/>
  </w:num>
  <w:num w:numId="10">
    <w:abstractNumId w:val="5"/>
  </w:num>
  <w:num w:numId="11">
    <w:abstractNumId w:val="8"/>
  </w:num>
  <w:num w:numId="12">
    <w:abstractNumId w:val="11"/>
  </w:num>
  <w:num w:numId="13">
    <w:abstractNumId w:val="13"/>
  </w:num>
  <w:num w:numId="14">
    <w:abstractNumId w:val="0"/>
  </w:num>
  <w:num w:numId="15">
    <w:abstractNumId w:val="6"/>
  </w:num>
  <w:num w:numId="16">
    <w:abstractNumId w:val="14"/>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3F50C7"/>
    <w:rsid w:val="000006F2"/>
    <w:rsid w:val="00001524"/>
    <w:rsid w:val="0000322D"/>
    <w:rsid w:val="0000401F"/>
    <w:rsid w:val="000040AA"/>
    <w:rsid w:val="00006883"/>
    <w:rsid w:val="000071A3"/>
    <w:rsid w:val="000075D7"/>
    <w:rsid w:val="00007D01"/>
    <w:rsid w:val="00011F3F"/>
    <w:rsid w:val="00013EC3"/>
    <w:rsid w:val="00014C2D"/>
    <w:rsid w:val="0001628B"/>
    <w:rsid w:val="0001665C"/>
    <w:rsid w:val="00021669"/>
    <w:rsid w:val="000219D2"/>
    <w:rsid w:val="00023538"/>
    <w:rsid w:val="00024ED0"/>
    <w:rsid w:val="000254B3"/>
    <w:rsid w:val="00025A42"/>
    <w:rsid w:val="00027BEF"/>
    <w:rsid w:val="00030106"/>
    <w:rsid w:val="00033FC8"/>
    <w:rsid w:val="00033FDF"/>
    <w:rsid w:val="00034052"/>
    <w:rsid w:val="000340FC"/>
    <w:rsid w:val="000349A0"/>
    <w:rsid w:val="00035B20"/>
    <w:rsid w:val="000378B4"/>
    <w:rsid w:val="0004021C"/>
    <w:rsid w:val="00044018"/>
    <w:rsid w:val="00047D94"/>
    <w:rsid w:val="000520BC"/>
    <w:rsid w:val="0006348A"/>
    <w:rsid w:val="000657AD"/>
    <w:rsid w:val="000667A0"/>
    <w:rsid w:val="00067381"/>
    <w:rsid w:val="000728F0"/>
    <w:rsid w:val="0007379D"/>
    <w:rsid w:val="00073B5C"/>
    <w:rsid w:val="0007561D"/>
    <w:rsid w:val="000771F0"/>
    <w:rsid w:val="00080AE6"/>
    <w:rsid w:val="00082125"/>
    <w:rsid w:val="00084782"/>
    <w:rsid w:val="00086C79"/>
    <w:rsid w:val="00090BF6"/>
    <w:rsid w:val="00091E9C"/>
    <w:rsid w:val="0009552A"/>
    <w:rsid w:val="00096619"/>
    <w:rsid w:val="00097F5B"/>
    <w:rsid w:val="000A1C6A"/>
    <w:rsid w:val="000A1ECE"/>
    <w:rsid w:val="000A271A"/>
    <w:rsid w:val="000A773A"/>
    <w:rsid w:val="000B551A"/>
    <w:rsid w:val="000B7EF0"/>
    <w:rsid w:val="000C1970"/>
    <w:rsid w:val="000C2808"/>
    <w:rsid w:val="000C34BD"/>
    <w:rsid w:val="000C3793"/>
    <w:rsid w:val="000D0B26"/>
    <w:rsid w:val="000D1931"/>
    <w:rsid w:val="000D1B3E"/>
    <w:rsid w:val="000D1CA3"/>
    <w:rsid w:val="000D1D50"/>
    <w:rsid w:val="000D42D9"/>
    <w:rsid w:val="000D60B8"/>
    <w:rsid w:val="000D77D0"/>
    <w:rsid w:val="000D7EB4"/>
    <w:rsid w:val="000E03B4"/>
    <w:rsid w:val="000E0635"/>
    <w:rsid w:val="000E0708"/>
    <w:rsid w:val="000E1026"/>
    <w:rsid w:val="000E15E0"/>
    <w:rsid w:val="000E494E"/>
    <w:rsid w:val="000E77A1"/>
    <w:rsid w:val="000E7874"/>
    <w:rsid w:val="000F1918"/>
    <w:rsid w:val="000F37E7"/>
    <w:rsid w:val="000F3AF2"/>
    <w:rsid w:val="000F757B"/>
    <w:rsid w:val="001016C5"/>
    <w:rsid w:val="00102C26"/>
    <w:rsid w:val="00103ED6"/>
    <w:rsid w:val="00104496"/>
    <w:rsid w:val="00104FBD"/>
    <w:rsid w:val="0010561F"/>
    <w:rsid w:val="001069FF"/>
    <w:rsid w:val="00107B29"/>
    <w:rsid w:val="001102DB"/>
    <w:rsid w:val="00110506"/>
    <w:rsid w:val="0011115B"/>
    <w:rsid w:val="00111331"/>
    <w:rsid w:val="00112D73"/>
    <w:rsid w:val="00114158"/>
    <w:rsid w:val="001143BA"/>
    <w:rsid w:val="00115055"/>
    <w:rsid w:val="00116587"/>
    <w:rsid w:val="00117BBF"/>
    <w:rsid w:val="00121B12"/>
    <w:rsid w:val="00122E2A"/>
    <w:rsid w:val="00123D94"/>
    <w:rsid w:val="001256E8"/>
    <w:rsid w:val="00130137"/>
    <w:rsid w:val="00130FA2"/>
    <w:rsid w:val="001335E6"/>
    <w:rsid w:val="00133773"/>
    <w:rsid w:val="00136448"/>
    <w:rsid w:val="00137A0F"/>
    <w:rsid w:val="00140E8E"/>
    <w:rsid w:val="0014188A"/>
    <w:rsid w:val="00141C7B"/>
    <w:rsid w:val="001420BC"/>
    <w:rsid w:val="00143823"/>
    <w:rsid w:val="00143BEC"/>
    <w:rsid w:val="001440D1"/>
    <w:rsid w:val="00144A2A"/>
    <w:rsid w:val="00145E8E"/>
    <w:rsid w:val="00146E64"/>
    <w:rsid w:val="00150AE2"/>
    <w:rsid w:val="001542A6"/>
    <w:rsid w:val="00154D4B"/>
    <w:rsid w:val="00160DD4"/>
    <w:rsid w:val="0016148C"/>
    <w:rsid w:val="00161987"/>
    <w:rsid w:val="001620BE"/>
    <w:rsid w:val="001628B6"/>
    <w:rsid w:val="00162F11"/>
    <w:rsid w:val="0016481B"/>
    <w:rsid w:val="00167A05"/>
    <w:rsid w:val="00172568"/>
    <w:rsid w:val="001727E6"/>
    <w:rsid w:val="00173396"/>
    <w:rsid w:val="0017412F"/>
    <w:rsid w:val="00175E69"/>
    <w:rsid w:val="001760BB"/>
    <w:rsid w:val="00176212"/>
    <w:rsid w:val="001778F1"/>
    <w:rsid w:val="00180102"/>
    <w:rsid w:val="00180FDB"/>
    <w:rsid w:val="00183206"/>
    <w:rsid w:val="00183D39"/>
    <w:rsid w:val="00183E32"/>
    <w:rsid w:val="001846E3"/>
    <w:rsid w:val="00187110"/>
    <w:rsid w:val="001875CC"/>
    <w:rsid w:val="001911BC"/>
    <w:rsid w:val="00192896"/>
    <w:rsid w:val="001941F0"/>
    <w:rsid w:val="001A1A82"/>
    <w:rsid w:val="001A2C85"/>
    <w:rsid w:val="001A2F72"/>
    <w:rsid w:val="001A3025"/>
    <w:rsid w:val="001A4355"/>
    <w:rsid w:val="001A4A4A"/>
    <w:rsid w:val="001A4FB4"/>
    <w:rsid w:val="001A531A"/>
    <w:rsid w:val="001A5F24"/>
    <w:rsid w:val="001B0627"/>
    <w:rsid w:val="001B085E"/>
    <w:rsid w:val="001B13F9"/>
    <w:rsid w:val="001B3833"/>
    <w:rsid w:val="001C06DC"/>
    <w:rsid w:val="001C085E"/>
    <w:rsid w:val="001C09BE"/>
    <w:rsid w:val="001C1A7B"/>
    <w:rsid w:val="001C1B40"/>
    <w:rsid w:val="001C5046"/>
    <w:rsid w:val="001C55A1"/>
    <w:rsid w:val="001C5FB6"/>
    <w:rsid w:val="001D164E"/>
    <w:rsid w:val="001D3C3F"/>
    <w:rsid w:val="001D561B"/>
    <w:rsid w:val="001E0B0E"/>
    <w:rsid w:val="001E1B36"/>
    <w:rsid w:val="001E410E"/>
    <w:rsid w:val="001E43CA"/>
    <w:rsid w:val="001E61AE"/>
    <w:rsid w:val="001F1753"/>
    <w:rsid w:val="001F1E9E"/>
    <w:rsid w:val="001F2AB0"/>
    <w:rsid w:val="00202E5B"/>
    <w:rsid w:val="002031A5"/>
    <w:rsid w:val="00203E77"/>
    <w:rsid w:val="00204C4D"/>
    <w:rsid w:val="00204F6C"/>
    <w:rsid w:val="00204FDD"/>
    <w:rsid w:val="00205B97"/>
    <w:rsid w:val="00210932"/>
    <w:rsid w:val="002160CB"/>
    <w:rsid w:val="00216FF6"/>
    <w:rsid w:val="0022119B"/>
    <w:rsid w:val="0022164F"/>
    <w:rsid w:val="00221A0A"/>
    <w:rsid w:val="00221EA0"/>
    <w:rsid w:val="002247EF"/>
    <w:rsid w:val="00224E5C"/>
    <w:rsid w:val="00225EDA"/>
    <w:rsid w:val="00226A12"/>
    <w:rsid w:val="00226A83"/>
    <w:rsid w:val="00230FC2"/>
    <w:rsid w:val="002313D5"/>
    <w:rsid w:val="002319A6"/>
    <w:rsid w:val="00231EFF"/>
    <w:rsid w:val="002332F7"/>
    <w:rsid w:val="00233455"/>
    <w:rsid w:val="002345B7"/>
    <w:rsid w:val="00234BE2"/>
    <w:rsid w:val="002402D6"/>
    <w:rsid w:val="002409E1"/>
    <w:rsid w:val="00242022"/>
    <w:rsid w:val="0024258F"/>
    <w:rsid w:val="002432F4"/>
    <w:rsid w:val="00243C69"/>
    <w:rsid w:val="00243CCA"/>
    <w:rsid w:val="00244B14"/>
    <w:rsid w:val="00245299"/>
    <w:rsid w:val="002460AB"/>
    <w:rsid w:val="00251631"/>
    <w:rsid w:val="00251E14"/>
    <w:rsid w:val="0025322D"/>
    <w:rsid w:val="002545CE"/>
    <w:rsid w:val="0025659F"/>
    <w:rsid w:val="0025745C"/>
    <w:rsid w:val="00257D5D"/>
    <w:rsid w:val="00257FEE"/>
    <w:rsid w:val="00261B5C"/>
    <w:rsid w:val="00261C94"/>
    <w:rsid w:val="002629B5"/>
    <w:rsid w:val="00265BA3"/>
    <w:rsid w:val="00265E44"/>
    <w:rsid w:val="00270509"/>
    <w:rsid w:val="002724A9"/>
    <w:rsid w:val="0027357C"/>
    <w:rsid w:val="00283AF9"/>
    <w:rsid w:val="002841E0"/>
    <w:rsid w:val="00285B1B"/>
    <w:rsid w:val="002911EB"/>
    <w:rsid w:val="00291289"/>
    <w:rsid w:val="002915A4"/>
    <w:rsid w:val="0029214A"/>
    <w:rsid w:val="00293294"/>
    <w:rsid w:val="002939C7"/>
    <w:rsid w:val="00296C62"/>
    <w:rsid w:val="002972DA"/>
    <w:rsid w:val="00297EFE"/>
    <w:rsid w:val="002A12C0"/>
    <w:rsid w:val="002A1D5B"/>
    <w:rsid w:val="002A41EE"/>
    <w:rsid w:val="002A4A75"/>
    <w:rsid w:val="002B0457"/>
    <w:rsid w:val="002B3A32"/>
    <w:rsid w:val="002B60B2"/>
    <w:rsid w:val="002B6985"/>
    <w:rsid w:val="002C1FD4"/>
    <w:rsid w:val="002C390F"/>
    <w:rsid w:val="002C3E2A"/>
    <w:rsid w:val="002C400D"/>
    <w:rsid w:val="002C5B92"/>
    <w:rsid w:val="002C7336"/>
    <w:rsid w:val="002C7DE1"/>
    <w:rsid w:val="002C7F83"/>
    <w:rsid w:val="002D06CE"/>
    <w:rsid w:val="002D0CA4"/>
    <w:rsid w:val="002D3816"/>
    <w:rsid w:val="002D3A89"/>
    <w:rsid w:val="002D400C"/>
    <w:rsid w:val="002D4CD1"/>
    <w:rsid w:val="002D5215"/>
    <w:rsid w:val="002D57B3"/>
    <w:rsid w:val="002E121A"/>
    <w:rsid w:val="002E1826"/>
    <w:rsid w:val="002E4C8C"/>
    <w:rsid w:val="002E4F38"/>
    <w:rsid w:val="002E5C09"/>
    <w:rsid w:val="002E5FA5"/>
    <w:rsid w:val="002E6B1F"/>
    <w:rsid w:val="002F2F16"/>
    <w:rsid w:val="002F3EE0"/>
    <w:rsid w:val="002F680A"/>
    <w:rsid w:val="002F6823"/>
    <w:rsid w:val="00304A9B"/>
    <w:rsid w:val="003050A5"/>
    <w:rsid w:val="00305262"/>
    <w:rsid w:val="003058D5"/>
    <w:rsid w:val="003121E8"/>
    <w:rsid w:val="00315608"/>
    <w:rsid w:val="00322FC2"/>
    <w:rsid w:val="003232FD"/>
    <w:rsid w:val="00323B98"/>
    <w:rsid w:val="003241CE"/>
    <w:rsid w:val="00325661"/>
    <w:rsid w:val="003258E5"/>
    <w:rsid w:val="00325B43"/>
    <w:rsid w:val="00326D27"/>
    <w:rsid w:val="0032701E"/>
    <w:rsid w:val="00327EC1"/>
    <w:rsid w:val="003302F1"/>
    <w:rsid w:val="0033417C"/>
    <w:rsid w:val="00334F05"/>
    <w:rsid w:val="00337754"/>
    <w:rsid w:val="003407F5"/>
    <w:rsid w:val="003436F9"/>
    <w:rsid w:val="00344392"/>
    <w:rsid w:val="00344A6D"/>
    <w:rsid w:val="00346C1D"/>
    <w:rsid w:val="00347C41"/>
    <w:rsid w:val="0035085C"/>
    <w:rsid w:val="00353F40"/>
    <w:rsid w:val="00354986"/>
    <w:rsid w:val="003569BC"/>
    <w:rsid w:val="00356DC9"/>
    <w:rsid w:val="0036102D"/>
    <w:rsid w:val="003634D0"/>
    <w:rsid w:val="00365387"/>
    <w:rsid w:val="00370762"/>
    <w:rsid w:val="00370D1F"/>
    <w:rsid w:val="00373790"/>
    <w:rsid w:val="00373BDF"/>
    <w:rsid w:val="00373E98"/>
    <w:rsid w:val="00377252"/>
    <w:rsid w:val="00377260"/>
    <w:rsid w:val="003777F8"/>
    <w:rsid w:val="00377A56"/>
    <w:rsid w:val="00380C59"/>
    <w:rsid w:val="00380E31"/>
    <w:rsid w:val="003819A7"/>
    <w:rsid w:val="00384016"/>
    <w:rsid w:val="0038444A"/>
    <w:rsid w:val="00385415"/>
    <w:rsid w:val="00386882"/>
    <w:rsid w:val="00386CCD"/>
    <w:rsid w:val="003902FC"/>
    <w:rsid w:val="00390950"/>
    <w:rsid w:val="00392200"/>
    <w:rsid w:val="00392FD5"/>
    <w:rsid w:val="00393BA0"/>
    <w:rsid w:val="0039514A"/>
    <w:rsid w:val="0039612A"/>
    <w:rsid w:val="003A67DE"/>
    <w:rsid w:val="003B00D9"/>
    <w:rsid w:val="003B0349"/>
    <w:rsid w:val="003B313D"/>
    <w:rsid w:val="003B5A41"/>
    <w:rsid w:val="003B7786"/>
    <w:rsid w:val="003B7A1C"/>
    <w:rsid w:val="003C0439"/>
    <w:rsid w:val="003C0BC5"/>
    <w:rsid w:val="003C0FD4"/>
    <w:rsid w:val="003C2BB2"/>
    <w:rsid w:val="003C2FA9"/>
    <w:rsid w:val="003C5C90"/>
    <w:rsid w:val="003C5F80"/>
    <w:rsid w:val="003C68D8"/>
    <w:rsid w:val="003C68FA"/>
    <w:rsid w:val="003C6D51"/>
    <w:rsid w:val="003C7ECE"/>
    <w:rsid w:val="003D0226"/>
    <w:rsid w:val="003D341D"/>
    <w:rsid w:val="003D408E"/>
    <w:rsid w:val="003D65D8"/>
    <w:rsid w:val="003D6D2D"/>
    <w:rsid w:val="003D701F"/>
    <w:rsid w:val="003D7E1F"/>
    <w:rsid w:val="003E0CD1"/>
    <w:rsid w:val="003E1951"/>
    <w:rsid w:val="003F0C45"/>
    <w:rsid w:val="003F0EA3"/>
    <w:rsid w:val="003F20C2"/>
    <w:rsid w:val="003F50C7"/>
    <w:rsid w:val="00401308"/>
    <w:rsid w:val="004027BB"/>
    <w:rsid w:val="0040492A"/>
    <w:rsid w:val="00405242"/>
    <w:rsid w:val="0040533B"/>
    <w:rsid w:val="00405E14"/>
    <w:rsid w:val="00406CD4"/>
    <w:rsid w:val="00410800"/>
    <w:rsid w:val="004118C2"/>
    <w:rsid w:val="00412776"/>
    <w:rsid w:val="00412838"/>
    <w:rsid w:val="004133E7"/>
    <w:rsid w:val="0041532B"/>
    <w:rsid w:val="00420146"/>
    <w:rsid w:val="004213EA"/>
    <w:rsid w:val="0042792B"/>
    <w:rsid w:val="004302EB"/>
    <w:rsid w:val="004309C7"/>
    <w:rsid w:val="00431248"/>
    <w:rsid w:val="00437119"/>
    <w:rsid w:val="00437607"/>
    <w:rsid w:val="004429E2"/>
    <w:rsid w:val="0044461F"/>
    <w:rsid w:val="00447F02"/>
    <w:rsid w:val="004508BD"/>
    <w:rsid w:val="004516FD"/>
    <w:rsid w:val="00451BDD"/>
    <w:rsid w:val="004525CE"/>
    <w:rsid w:val="00452B00"/>
    <w:rsid w:val="00453150"/>
    <w:rsid w:val="004539B9"/>
    <w:rsid w:val="00461C3B"/>
    <w:rsid w:val="00462352"/>
    <w:rsid w:val="00463B9B"/>
    <w:rsid w:val="0046625E"/>
    <w:rsid w:val="00472B66"/>
    <w:rsid w:val="004743DA"/>
    <w:rsid w:val="00475B0B"/>
    <w:rsid w:val="00475DC1"/>
    <w:rsid w:val="0048207C"/>
    <w:rsid w:val="00482532"/>
    <w:rsid w:val="00486860"/>
    <w:rsid w:val="00491BF9"/>
    <w:rsid w:val="00493081"/>
    <w:rsid w:val="00493ABD"/>
    <w:rsid w:val="00494A65"/>
    <w:rsid w:val="00496478"/>
    <w:rsid w:val="00496FC1"/>
    <w:rsid w:val="00497C7A"/>
    <w:rsid w:val="00497E30"/>
    <w:rsid w:val="004A0CE1"/>
    <w:rsid w:val="004A10B6"/>
    <w:rsid w:val="004A1C5A"/>
    <w:rsid w:val="004A201E"/>
    <w:rsid w:val="004A3B56"/>
    <w:rsid w:val="004A6EF7"/>
    <w:rsid w:val="004A745A"/>
    <w:rsid w:val="004B13A1"/>
    <w:rsid w:val="004B1483"/>
    <w:rsid w:val="004B19BA"/>
    <w:rsid w:val="004B3A61"/>
    <w:rsid w:val="004B40F0"/>
    <w:rsid w:val="004B42CC"/>
    <w:rsid w:val="004B58D6"/>
    <w:rsid w:val="004B64E7"/>
    <w:rsid w:val="004B6C38"/>
    <w:rsid w:val="004B6DB3"/>
    <w:rsid w:val="004C35EA"/>
    <w:rsid w:val="004C6C14"/>
    <w:rsid w:val="004C7D12"/>
    <w:rsid w:val="004D1487"/>
    <w:rsid w:val="004D4335"/>
    <w:rsid w:val="004D5E38"/>
    <w:rsid w:val="004D764E"/>
    <w:rsid w:val="004E045F"/>
    <w:rsid w:val="004E04BE"/>
    <w:rsid w:val="004E0854"/>
    <w:rsid w:val="004E282E"/>
    <w:rsid w:val="004E3BB7"/>
    <w:rsid w:val="004E5CC1"/>
    <w:rsid w:val="004E635F"/>
    <w:rsid w:val="004E67BB"/>
    <w:rsid w:val="004F0F02"/>
    <w:rsid w:val="004F1154"/>
    <w:rsid w:val="004F36C0"/>
    <w:rsid w:val="004F507D"/>
    <w:rsid w:val="004F56F3"/>
    <w:rsid w:val="004F5B18"/>
    <w:rsid w:val="004F68FC"/>
    <w:rsid w:val="004F6CCA"/>
    <w:rsid w:val="00500326"/>
    <w:rsid w:val="005027CD"/>
    <w:rsid w:val="0050313E"/>
    <w:rsid w:val="00504659"/>
    <w:rsid w:val="00505A23"/>
    <w:rsid w:val="00507890"/>
    <w:rsid w:val="0051073C"/>
    <w:rsid w:val="00512651"/>
    <w:rsid w:val="00512D65"/>
    <w:rsid w:val="00513E81"/>
    <w:rsid w:val="005156CE"/>
    <w:rsid w:val="0051681A"/>
    <w:rsid w:val="00524061"/>
    <w:rsid w:val="00525633"/>
    <w:rsid w:val="005257E0"/>
    <w:rsid w:val="0053035E"/>
    <w:rsid w:val="00530E10"/>
    <w:rsid w:val="00532396"/>
    <w:rsid w:val="0053474D"/>
    <w:rsid w:val="005356BA"/>
    <w:rsid w:val="0054013E"/>
    <w:rsid w:val="0054065B"/>
    <w:rsid w:val="0054065F"/>
    <w:rsid w:val="00540DCC"/>
    <w:rsid w:val="0054149E"/>
    <w:rsid w:val="005417F5"/>
    <w:rsid w:val="0054291D"/>
    <w:rsid w:val="0054404B"/>
    <w:rsid w:val="005446B0"/>
    <w:rsid w:val="00544837"/>
    <w:rsid w:val="00545D37"/>
    <w:rsid w:val="00546F22"/>
    <w:rsid w:val="00550BF0"/>
    <w:rsid w:val="00551F9E"/>
    <w:rsid w:val="005523E6"/>
    <w:rsid w:val="0055289C"/>
    <w:rsid w:val="00552E02"/>
    <w:rsid w:val="0056085C"/>
    <w:rsid w:val="00561662"/>
    <w:rsid w:val="00563022"/>
    <w:rsid w:val="00563EBE"/>
    <w:rsid w:val="00567560"/>
    <w:rsid w:val="00571144"/>
    <w:rsid w:val="005755D3"/>
    <w:rsid w:val="00576914"/>
    <w:rsid w:val="00577FFC"/>
    <w:rsid w:val="0058079D"/>
    <w:rsid w:val="00585E7D"/>
    <w:rsid w:val="00591011"/>
    <w:rsid w:val="0059291C"/>
    <w:rsid w:val="00595DFD"/>
    <w:rsid w:val="00595EE0"/>
    <w:rsid w:val="005A0252"/>
    <w:rsid w:val="005A0717"/>
    <w:rsid w:val="005A1CF2"/>
    <w:rsid w:val="005A1DB0"/>
    <w:rsid w:val="005A3CFE"/>
    <w:rsid w:val="005A6DE6"/>
    <w:rsid w:val="005A748D"/>
    <w:rsid w:val="005B030B"/>
    <w:rsid w:val="005B09C7"/>
    <w:rsid w:val="005B2E1E"/>
    <w:rsid w:val="005B335C"/>
    <w:rsid w:val="005B3B40"/>
    <w:rsid w:val="005B41C7"/>
    <w:rsid w:val="005B4FAB"/>
    <w:rsid w:val="005C2A4E"/>
    <w:rsid w:val="005C2C23"/>
    <w:rsid w:val="005C4888"/>
    <w:rsid w:val="005C4907"/>
    <w:rsid w:val="005C57BF"/>
    <w:rsid w:val="005C7FBE"/>
    <w:rsid w:val="005D06A2"/>
    <w:rsid w:val="005D269F"/>
    <w:rsid w:val="005D2E80"/>
    <w:rsid w:val="005D4B63"/>
    <w:rsid w:val="005D6489"/>
    <w:rsid w:val="005E38C6"/>
    <w:rsid w:val="005E45B7"/>
    <w:rsid w:val="005E49C1"/>
    <w:rsid w:val="005E4D04"/>
    <w:rsid w:val="005E52E7"/>
    <w:rsid w:val="005E5705"/>
    <w:rsid w:val="005F1C77"/>
    <w:rsid w:val="005F2583"/>
    <w:rsid w:val="005F2D5D"/>
    <w:rsid w:val="005F4536"/>
    <w:rsid w:val="005F605F"/>
    <w:rsid w:val="005F6924"/>
    <w:rsid w:val="005F6AC1"/>
    <w:rsid w:val="005F77C8"/>
    <w:rsid w:val="005F7E9F"/>
    <w:rsid w:val="00602696"/>
    <w:rsid w:val="00602C20"/>
    <w:rsid w:val="006044B4"/>
    <w:rsid w:val="00605069"/>
    <w:rsid w:val="00606BE9"/>
    <w:rsid w:val="00606F75"/>
    <w:rsid w:val="00607973"/>
    <w:rsid w:val="00611629"/>
    <w:rsid w:val="00612333"/>
    <w:rsid w:val="00612420"/>
    <w:rsid w:val="0061368E"/>
    <w:rsid w:val="00613D59"/>
    <w:rsid w:val="006140A3"/>
    <w:rsid w:val="006149FD"/>
    <w:rsid w:val="006156C3"/>
    <w:rsid w:val="006174F6"/>
    <w:rsid w:val="00617AD0"/>
    <w:rsid w:val="00621737"/>
    <w:rsid w:val="0062249B"/>
    <w:rsid w:val="006224E6"/>
    <w:rsid w:val="006322D4"/>
    <w:rsid w:val="006336F0"/>
    <w:rsid w:val="00637BD3"/>
    <w:rsid w:val="00637BE9"/>
    <w:rsid w:val="00640521"/>
    <w:rsid w:val="0064217A"/>
    <w:rsid w:val="0064344D"/>
    <w:rsid w:val="0064547D"/>
    <w:rsid w:val="00650F60"/>
    <w:rsid w:val="0065123A"/>
    <w:rsid w:val="00652A3D"/>
    <w:rsid w:val="00655040"/>
    <w:rsid w:val="00656A4D"/>
    <w:rsid w:val="0065760C"/>
    <w:rsid w:val="00663BB0"/>
    <w:rsid w:val="00663F28"/>
    <w:rsid w:val="006737CD"/>
    <w:rsid w:val="0067659B"/>
    <w:rsid w:val="00677777"/>
    <w:rsid w:val="00684374"/>
    <w:rsid w:val="0068551E"/>
    <w:rsid w:val="00686646"/>
    <w:rsid w:val="00687DD2"/>
    <w:rsid w:val="006904EB"/>
    <w:rsid w:val="00690C14"/>
    <w:rsid w:val="0069210E"/>
    <w:rsid w:val="00692996"/>
    <w:rsid w:val="00693ACA"/>
    <w:rsid w:val="006946FF"/>
    <w:rsid w:val="006967A2"/>
    <w:rsid w:val="00696C18"/>
    <w:rsid w:val="006A0089"/>
    <w:rsid w:val="006A07DA"/>
    <w:rsid w:val="006A2141"/>
    <w:rsid w:val="006A2400"/>
    <w:rsid w:val="006A278E"/>
    <w:rsid w:val="006A414F"/>
    <w:rsid w:val="006A7334"/>
    <w:rsid w:val="006B4943"/>
    <w:rsid w:val="006C02F3"/>
    <w:rsid w:val="006C0805"/>
    <w:rsid w:val="006C09BC"/>
    <w:rsid w:val="006C1443"/>
    <w:rsid w:val="006C30AC"/>
    <w:rsid w:val="006C48A0"/>
    <w:rsid w:val="006C4F0F"/>
    <w:rsid w:val="006C571D"/>
    <w:rsid w:val="006C5F2A"/>
    <w:rsid w:val="006C5FAD"/>
    <w:rsid w:val="006C70F6"/>
    <w:rsid w:val="006C778F"/>
    <w:rsid w:val="006D13E4"/>
    <w:rsid w:val="006D26DA"/>
    <w:rsid w:val="006D2B95"/>
    <w:rsid w:val="006D2DB6"/>
    <w:rsid w:val="006D38EC"/>
    <w:rsid w:val="006D3DA0"/>
    <w:rsid w:val="006D3DA7"/>
    <w:rsid w:val="006D5108"/>
    <w:rsid w:val="006D7A90"/>
    <w:rsid w:val="006E192B"/>
    <w:rsid w:val="006E3860"/>
    <w:rsid w:val="006E3A89"/>
    <w:rsid w:val="006E52DE"/>
    <w:rsid w:val="006E5367"/>
    <w:rsid w:val="006E7851"/>
    <w:rsid w:val="006F02C7"/>
    <w:rsid w:val="006F2A6A"/>
    <w:rsid w:val="006F2B04"/>
    <w:rsid w:val="006F32D9"/>
    <w:rsid w:val="006F40D0"/>
    <w:rsid w:val="006F4E72"/>
    <w:rsid w:val="006F635D"/>
    <w:rsid w:val="006F7786"/>
    <w:rsid w:val="006F79CC"/>
    <w:rsid w:val="007016BB"/>
    <w:rsid w:val="00701C64"/>
    <w:rsid w:val="007035A2"/>
    <w:rsid w:val="0070473D"/>
    <w:rsid w:val="0070582D"/>
    <w:rsid w:val="00706770"/>
    <w:rsid w:val="00710C84"/>
    <w:rsid w:val="00714EC6"/>
    <w:rsid w:val="007173E1"/>
    <w:rsid w:val="00717AFC"/>
    <w:rsid w:val="00720052"/>
    <w:rsid w:val="00724896"/>
    <w:rsid w:val="007256A1"/>
    <w:rsid w:val="00725EC8"/>
    <w:rsid w:val="00726B0F"/>
    <w:rsid w:val="00727640"/>
    <w:rsid w:val="00727ECF"/>
    <w:rsid w:val="00731D97"/>
    <w:rsid w:val="0073378D"/>
    <w:rsid w:val="007344F0"/>
    <w:rsid w:val="00735493"/>
    <w:rsid w:val="00735F2A"/>
    <w:rsid w:val="007412AE"/>
    <w:rsid w:val="00741D66"/>
    <w:rsid w:val="0074313D"/>
    <w:rsid w:val="007439F4"/>
    <w:rsid w:val="00745719"/>
    <w:rsid w:val="00746369"/>
    <w:rsid w:val="00746A11"/>
    <w:rsid w:val="007511F9"/>
    <w:rsid w:val="007558B2"/>
    <w:rsid w:val="007561CD"/>
    <w:rsid w:val="00757472"/>
    <w:rsid w:val="00757874"/>
    <w:rsid w:val="0076110C"/>
    <w:rsid w:val="0076124D"/>
    <w:rsid w:val="00761513"/>
    <w:rsid w:val="00761B53"/>
    <w:rsid w:val="00762A79"/>
    <w:rsid w:val="007645CC"/>
    <w:rsid w:val="00766D37"/>
    <w:rsid w:val="0076775D"/>
    <w:rsid w:val="00770A4B"/>
    <w:rsid w:val="00770A85"/>
    <w:rsid w:val="0077133E"/>
    <w:rsid w:val="00772414"/>
    <w:rsid w:val="0077340D"/>
    <w:rsid w:val="00773707"/>
    <w:rsid w:val="00775FA4"/>
    <w:rsid w:val="00777035"/>
    <w:rsid w:val="00777342"/>
    <w:rsid w:val="00777C08"/>
    <w:rsid w:val="00782D07"/>
    <w:rsid w:val="00782F8B"/>
    <w:rsid w:val="00784381"/>
    <w:rsid w:val="007850BE"/>
    <w:rsid w:val="00785532"/>
    <w:rsid w:val="00785899"/>
    <w:rsid w:val="00790B70"/>
    <w:rsid w:val="00791945"/>
    <w:rsid w:val="0079392E"/>
    <w:rsid w:val="007940BA"/>
    <w:rsid w:val="0079439B"/>
    <w:rsid w:val="00796D0A"/>
    <w:rsid w:val="00797D4E"/>
    <w:rsid w:val="007A1622"/>
    <w:rsid w:val="007A30F9"/>
    <w:rsid w:val="007A3B6A"/>
    <w:rsid w:val="007A3D96"/>
    <w:rsid w:val="007A510B"/>
    <w:rsid w:val="007A5476"/>
    <w:rsid w:val="007A61B9"/>
    <w:rsid w:val="007A676B"/>
    <w:rsid w:val="007A6CF3"/>
    <w:rsid w:val="007B26BB"/>
    <w:rsid w:val="007B415A"/>
    <w:rsid w:val="007B5797"/>
    <w:rsid w:val="007B5FF2"/>
    <w:rsid w:val="007B68A4"/>
    <w:rsid w:val="007B6ED5"/>
    <w:rsid w:val="007B71E9"/>
    <w:rsid w:val="007B7994"/>
    <w:rsid w:val="007D1786"/>
    <w:rsid w:val="007D17F4"/>
    <w:rsid w:val="007D1B4F"/>
    <w:rsid w:val="007D50C7"/>
    <w:rsid w:val="007D5AA4"/>
    <w:rsid w:val="007D7132"/>
    <w:rsid w:val="007E1398"/>
    <w:rsid w:val="007E2128"/>
    <w:rsid w:val="007E4A97"/>
    <w:rsid w:val="007E699A"/>
    <w:rsid w:val="007E76F5"/>
    <w:rsid w:val="007F1254"/>
    <w:rsid w:val="007F19EB"/>
    <w:rsid w:val="007F1BAC"/>
    <w:rsid w:val="007F2D2C"/>
    <w:rsid w:val="007F2F02"/>
    <w:rsid w:val="007F339B"/>
    <w:rsid w:val="007F3A6A"/>
    <w:rsid w:val="007F440D"/>
    <w:rsid w:val="007F4C83"/>
    <w:rsid w:val="007F5049"/>
    <w:rsid w:val="008017EF"/>
    <w:rsid w:val="008019CB"/>
    <w:rsid w:val="00803309"/>
    <w:rsid w:val="00803E82"/>
    <w:rsid w:val="00804B14"/>
    <w:rsid w:val="00804C23"/>
    <w:rsid w:val="00804CCE"/>
    <w:rsid w:val="00805B6B"/>
    <w:rsid w:val="00806D24"/>
    <w:rsid w:val="00810630"/>
    <w:rsid w:val="00810B1E"/>
    <w:rsid w:val="00810BB8"/>
    <w:rsid w:val="00814956"/>
    <w:rsid w:val="00816772"/>
    <w:rsid w:val="00817634"/>
    <w:rsid w:val="0082047B"/>
    <w:rsid w:val="00820ABA"/>
    <w:rsid w:val="008242E6"/>
    <w:rsid w:val="00824EFA"/>
    <w:rsid w:val="0082547A"/>
    <w:rsid w:val="008311BB"/>
    <w:rsid w:val="00831E31"/>
    <w:rsid w:val="00832EC2"/>
    <w:rsid w:val="00832F08"/>
    <w:rsid w:val="00833B2E"/>
    <w:rsid w:val="00833B6C"/>
    <w:rsid w:val="00833C2B"/>
    <w:rsid w:val="00833EB5"/>
    <w:rsid w:val="00837746"/>
    <w:rsid w:val="00840BCF"/>
    <w:rsid w:val="00841785"/>
    <w:rsid w:val="00843086"/>
    <w:rsid w:val="00844366"/>
    <w:rsid w:val="00844414"/>
    <w:rsid w:val="008444EE"/>
    <w:rsid w:val="008451EB"/>
    <w:rsid w:val="00851066"/>
    <w:rsid w:val="00851223"/>
    <w:rsid w:val="008517BE"/>
    <w:rsid w:val="0085239C"/>
    <w:rsid w:val="00852CD4"/>
    <w:rsid w:val="00853209"/>
    <w:rsid w:val="00853BC2"/>
    <w:rsid w:val="00854FE0"/>
    <w:rsid w:val="0085631A"/>
    <w:rsid w:val="00856D77"/>
    <w:rsid w:val="00860B79"/>
    <w:rsid w:val="00862243"/>
    <w:rsid w:val="008637E3"/>
    <w:rsid w:val="00864B74"/>
    <w:rsid w:val="0086662F"/>
    <w:rsid w:val="00874735"/>
    <w:rsid w:val="00875834"/>
    <w:rsid w:val="008762F4"/>
    <w:rsid w:val="00877A8D"/>
    <w:rsid w:val="008802DF"/>
    <w:rsid w:val="00880A08"/>
    <w:rsid w:val="00880BD0"/>
    <w:rsid w:val="00881769"/>
    <w:rsid w:val="008830C6"/>
    <w:rsid w:val="00884498"/>
    <w:rsid w:val="00884B80"/>
    <w:rsid w:val="00885E4F"/>
    <w:rsid w:val="008907D1"/>
    <w:rsid w:val="00892254"/>
    <w:rsid w:val="00892A6C"/>
    <w:rsid w:val="00893059"/>
    <w:rsid w:val="0089446B"/>
    <w:rsid w:val="00894F80"/>
    <w:rsid w:val="00895873"/>
    <w:rsid w:val="008A1E52"/>
    <w:rsid w:val="008A3DD1"/>
    <w:rsid w:val="008A576E"/>
    <w:rsid w:val="008B120A"/>
    <w:rsid w:val="008B1623"/>
    <w:rsid w:val="008B1B83"/>
    <w:rsid w:val="008B278A"/>
    <w:rsid w:val="008B2F9B"/>
    <w:rsid w:val="008B36F4"/>
    <w:rsid w:val="008B649C"/>
    <w:rsid w:val="008C05DA"/>
    <w:rsid w:val="008C233C"/>
    <w:rsid w:val="008C2CB2"/>
    <w:rsid w:val="008C33A3"/>
    <w:rsid w:val="008C3B05"/>
    <w:rsid w:val="008C5321"/>
    <w:rsid w:val="008C7F69"/>
    <w:rsid w:val="008D0F66"/>
    <w:rsid w:val="008D1E8D"/>
    <w:rsid w:val="008D22E7"/>
    <w:rsid w:val="008D3D90"/>
    <w:rsid w:val="008D4104"/>
    <w:rsid w:val="008D4DDC"/>
    <w:rsid w:val="008D541E"/>
    <w:rsid w:val="008D7C4B"/>
    <w:rsid w:val="008E0480"/>
    <w:rsid w:val="008E0640"/>
    <w:rsid w:val="008E1EFF"/>
    <w:rsid w:val="008E1F78"/>
    <w:rsid w:val="008E2C43"/>
    <w:rsid w:val="008E55C7"/>
    <w:rsid w:val="008E5E47"/>
    <w:rsid w:val="008E64F5"/>
    <w:rsid w:val="008E7541"/>
    <w:rsid w:val="008F0873"/>
    <w:rsid w:val="008F1D68"/>
    <w:rsid w:val="008F30C2"/>
    <w:rsid w:val="008F4AD4"/>
    <w:rsid w:val="008F50B8"/>
    <w:rsid w:val="008F71EA"/>
    <w:rsid w:val="008F7208"/>
    <w:rsid w:val="009011D6"/>
    <w:rsid w:val="009018C8"/>
    <w:rsid w:val="0090354F"/>
    <w:rsid w:val="00903657"/>
    <w:rsid w:val="00910EBB"/>
    <w:rsid w:val="0091266D"/>
    <w:rsid w:val="00913AF2"/>
    <w:rsid w:val="00913C91"/>
    <w:rsid w:val="009141D6"/>
    <w:rsid w:val="009142EE"/>
    <w:rsid w:val="00915199"/>
    <w:rsid w:val="009159E5"/>
    <w:rsid w:val="00915B44"/>
    <w:rsid w:val="0091612E"/>
    <w:rsid w:val="0091696C"/>
    <w:rsid w:val="00925EE3"/>
    <w:rsid w:val="00926DB9"/>
    <w:rsid w:val="009310A7"/>
    <w:rsid w:val="009321AB"/>
    <w:rsid w:val="00933EF3"/>
    <w:rsid w:val="00934983"/>
    <w:rsid w:val="00934ACC"/>
    <w:rsid w:val="009359B3"/>
    <w:rsid w:val="009375F4"/>
    <w:rsid w:val="0094063E"/>
    <w:rsid w:val="00940D8B"/>
    <w:rsid w:val="00942A69"/>
    <w:rsid w:val="009431D2"/>
    <w:rsid w:val="00944C18"/>
    <w:rsid w:val="00944D52"/>
    <w:rsid w:val="00945362"/>
    <w:rsid w:val="00945905"/>
    <w:rsid w:val="00950A89"/>
    <w:rsid w:val="0095366A"/>
    <w:rsid w:val="00954C15"/>
    <w:rsid w:val="00957DD9"/>
    <w:rsid w:val="00957DEB"/>
    <w:rsid w:val="00961B1F"/>
    <w:rsid w:val="0096235A"/>
    <w:rsid w:val="00962F7C"/>
    <w:rsid w:val="00965435"/>
    <w:rsid w:val="009656D5"/>
    <w:rsid w:val="0096756C"/>
    <w:rsid w:val="00967570"/>
    <w:rsid w:val="00967A29"/>
    <w:rsid w:val="009700B9"/>
    <w:rsid w:val="00972740"/>
    <w:rsid w:val="00972E78"/>
    <w:rsid w:val="00974AD7"/>
    <w:rsid w:val="00976868"/>
    <w:rsid w:val="0097695B"/>
    <w:rsid w:val="00977EF3"/>
    <w:rsid w:val="00980571"/>
    <w:rsid w:val="00982145"/>
    <w:rsid w:val="00984F76"/>
    <w:rsid w:val="009850AA"/>
    <w:rsid w:val="009854AA"/>
    <w:rsid w:val="00985A74"/>
    <w:rsid w:val="00985B9C"/>
    <w:rsid w:val="0098721F"/>
    <w:rsid w:val="00987672"/>
    <w:rsid w:val="0098791C"/>
    <w:rsid w:val="00990B4B"/>
    <w:rsid w:val="00993286"/>
    <w:rsid w:val="00995EA9"/>
    <w:rsid w:val="009A241E"/>
    <w:rsid w:val="009A26ED"/>
    <w:rsid w:val="009A2BF3"/>
    <w:rsid w:val="009A3703"/>
    <w:rsid w:val="009A4FD1"/>
    <w:rsid w:val="009A68AF"/>
    <w:rsid w:val="009A76DD"/>
    <w:rsid w:val="009B497A"/>
    <w:rsid w:val="009B71E7"/>
    <w:rsid w:val="009B77BF"/>
    <w:rsid w:val="009C1259"/>
    <w:rsid w:val="009C16CF"/>
    <w:rsid w:val="009C1780"/>
    <w:rsid w:val="009C3DE0"/>
    <w:rsid w:val="009C4AB7"/>
    <w:rsid w:val="009D394F"/>
    <w:rsid w:val="009D53DA"/>
    <w:rsid w:val="009D6181"/>
    <w:rsid w:val="009D64D4"/>
    <w:rsid w:val="009D7CDA"/>
    <w:rsid w:val="009E16C1"/>
    <w:rsid w:val="009E1A77"/>
    <w:rsid w:val="009E32F8"/>
    <w:rsid w:val="009E4D40"/>
    <w:rsid w:val="009E501F"/>
    <w:rsid w:val="009E5BDF"/>
    <w:rsid w:val="009E6695"/>
    <w:rsid w:val="009E798B"/>
    <w:rsid w:val="009F0970"/>
    <w:rsid w:val="009F3CF4"/>
    <w:rsid w:val="009F523E"/>
    <w:rsid w:val="009F6B1F"/>
    <w:rsid w:val="00A01573"/>
    <w:rsid w:val="00A0173F"/>
    <w:rsid w:val="00A04BBD"/>
    <w:rsid w:val="00A06DD9"/>
    <w:rsid w:val="00A1034D"/>
    <w:rsid w:val="00A14456"/>
    <w:rsid w:val="00A151EF"/>
    <w:rsid w:val="00A15F8E"/>
    <w:rsid w:val="00A16154"/>
    <w:rsid w:val="00A16756"/>
    <w:rsid w:val="00A20BCB"/>
    <w:rsid w:val="00A264E3"/>
    <w:rsid w:val="00A30DE8"/>
    <w:rsid w:val="00A334BD"/>
    <w:rsid w:val="00A33626"/>
    <w:rsid w:val="00A33E47"/>
    <w:rsid w:val="00A34425"/>
    <w:rsid w:val="00A34773"/>
    <w:rsid w:val="00A34FB4"/>
    <w:rsid w:val="00A35DD0"/>
    <w:rsid w:val="00A36222"/>
    <w:rsid w:val="00A3726E"/>
    <w:rsid w:val="00A40C0C"/>
    <w:rsid w:val="00A4121D"/>
    <w:rsid w:val="00A460C5"/>
    <w:rsid w:val="00A468EE"/>
    <w:rsid w:val="00A52EBB"/>
    <w:rsid w:val="00A53DD7"/>
    <w:rsid w:val="00A54EF6"/>
    <w:rsid w:val="00A56E71"/>
    <w:rsid w:val="00A57AFA"/>
    <w:rsid w:val="00A60C18"/>
    <w:rsid w:val="00A62370"/>
    <w:rsid w:val="00A62C8C"/>
    <w:rsid w:val="00A6399F"/>
    <w:rsid w:val="00A65A28"/>
    <w:rsid w:val="00A65FB9"/>
    <w:rsid w:val="00A66ED9"/>
    <w:rsid w:val="00A674E0"/>
    <w:rsid w:val="00A67BBC"/>
    <w:rsid w:val="00A67C52"/>
    <w:rsid w:val="00A73825"/>
    <w:rsid w:val="00A7477E"/>
    <w:rsid w:val="00A7628A"/>
    <w:rsid w:val="00A76DD9"/>
    <w:rsid w:val="00A775C7"/>
    <w:rsid w:val="00A777D1"/>
    <w:rsid w:val="00A80893"/>
    <w:rsid w:val="00A831EA"/>
    <w:rsid w:val="00A83CEC"/>
    <w:rsid w:val="00A84632"/>
    <w:rsid w:val="00A852B2"/>
    <w:rsid w:val="00A85567"/>
    <w:rsid w:val="00A87725"/>
    <w:rsid w:val="00A87997"/>
    <w:rsid w:val="00A87BA0"/>
    <w:rsid w:val="00A91D74"/>
    <w:rsid w:val="00A927A5"/>
    <w:rsid w:val="00A92F4B"/>
    <w:rsid w:val="00A950AB"/>
    <w:rsid w:val="00AA562B"/>
    <w:rsid w:val="00AA5E8A"/>
    <w:rsid w:val="00AA664F"/>
    <w:rsid w:val="00AA723F"/>
    <w:rsid w:val="00AB0833"/>
    <w:rsid w:val="00AB10B2"/>
    <w:rsid w:val="00AB4F13"/>
    <w:rsid w:val="00AB61B8"/>
    <w:rsid w:val="00AB78E8"/>
    <w:rsid w:val="00AC148D"/>
    <w:rsid w:val="00AC45CC"/>
    <w:rsid w:val="00AC5C74"/>
    <w:rsid w:val="00AD2101"/>
    <w:rsid w:val="00AD285E"/>
    <w:rsid w:val="00AD2D82"/>
    <w:rsid w:val="00AD2D98"/>
    <w:rsid w:val="00AD2FDB"/>
    <w:rsid w:val="00AD549C"/>
    <w:rsid w:val="00AE063E"/>
    <w:rsid w:val="00AE0F50"/>
    <w:rsid w:val="00AE1CFD"/>
    <w:rsid w:val="00AE295C"/>
    <w:rsid w:val="00AE3569"/>
    <w:rsid w:val="00AE3D64"/>
    <w:rsid w:val="00AE45FD"/>
    <w:rsid w:val="00AF33CF"/>
    <w:rsid w:val="00AF512C"/>
    <w:rsid w:val="00B00F30"/>
    <w:rsid w:val="00B0757F"/>
    <w:rsid w:val="00B10A64"/>
    <w:rsid w:val="00B119B4"/>
    <w:rsid w:val="00B121AD"/>
    <w:rsid w:val="00B2102D"/>
    <w:rsid w:val="00B240FB"/>
    <w:rsid w:val="00B25F0A"/>
    <w:rsid w:val="00B31446"/>
    <w:rsid w:val="00B315E9"/>
    <w:rsid w:val="00B32DB6"/>
    <w:rsid w:val="00B35CD1"/>
    <w:rsid w:val="00B378D6"/>
    <w:rsid w:val="00B403B6"/>
    <w:rsid w:val="00B40FB9"/>
    <w:rsid w:val="00B412EE"/>
    <w:rsid w:val="00B41F90"/>
    <w:rsid w:val="00B42FB5"/>
    <w:rsid w:val="00B45546"/>
    <w:rsid w:val="00B50D8D"/>
    <w:rsid w:val="00B519C2"/>
    <w:rsid w:val="00B519C9"/>
    <w:rsid w:val="00B51A93"/>
    <w:rsid w:val="00B538A2"/>
    <w:rsid w:val="00B53D15"/>
    <w:rsid w:val="00B54638"/>
    <w:rsid w:val="00B55D18"/>
    <w:rsid w:val="00B60C15"/>
    <w:rsid w:val="00B60EC7"/>
    <w:rsid w:val="00B61623"/>
    <w:rsid w:val="00B6292C"/>
    <w:rsid w:val="00B629C5"/>
    <w:rsid w:val="00B64296"/>
    <w:rsid w:val="00B71596"/>
    <w:rsid w:val="00B737E3"/>
    <w:rsid w:val="00B77457"/>
    <w:rsid w:val="00B80E12"/>
    <w:rsid w:val="00B8165A"/>
    <w:rsid w:val="00B81661"/>
    <w:rsid w:val="00B81999"/>
    <w:rsid w:val="00B824AE"/>
    <w:rsid w:val="00B82D4D"/>
    <w:rsid w:val="00B8351F"/>
    <w:rsid w:val="00B84F87"/>
    <w:rsid w:val="00B86E3F"/>
    <w:rsid w:val="00B92D0B"/>
    <w:rsid w:val="00B95260"/>
    <w:rsid w:val="00B97737"/>
    <w:rsid w:val="00B97CAE"/>
    <w:rsid w:val="00BA1621"/>
    <w:rsid w:val="00BA2722"/>
    <w:rsid w:val="00BB1121"/>
    <w:rsid w:val="00BB1686"/>
    <w:rsid w:val="00BB3455"/>
    <w:rsid w:val="00BB4244"/>
    <w:rsid w:val="00BB492A"/>
    <w:rsid w:val="00BB5E21"/>
    <w:rsid w:val="00BB5F38"/>
    <w:rsid w:val="00BC3922"/>
    <w:rsid w:val="00BC71DC"/>
    <w:rsid w:val="00BC7EB9"/>
    <w:rsid w:val="00BD1280"/>
    <w:rsid w:val="00BD167C"/>
    <w:rsid w:val="00BD2257"/>
    <w:rsid w:val="00BD283D"/>
    <w:rsid w:val="00BD4AA4"/>
    <w:rsid w:val="00BD4E46"/>
    <w:rsid w:val="00BD55C1"/>
    <w:rsid w:val="00BD5795"/>
    <w:rsid w:val="00BD7946"/>
    <w:rsid w:val="00BD7989"/>
    <w:rsid w:val="00BE08A6"/>
    <w:rsid w:val="00BE118C"/>
    <w:rsid w:val="00BE150A"/>
    <w:rsid w:val="00BE43CF"/>
    <w:rsid w:val="00BE4CE0"/>
    <w:rsid w:val="00BE4D0D"/>
    <w:rsid w:val="00BE646C"/>
    <w:rsid w:val="00BE780C"/>
    <w:rsid w:val="00BE7B22"/>
    <w:rsid w:val="00BF1E16"/>
    <w:rsid w:val="00BF31D9"/>
    <w:rsid w:val="00BF46FF"/>
    <w:rsid w:val="00BF51C5"/>
    <w:rsid w:val="00BF5B65"/>
    <w:rsid w:val="00BF7DCA"/>
    <w:rsid w:val="00C016C3"/>
    <w:rsid w:val="00C027D9"/>
    <w:rsid w:val="00C02E86"/>
    <w:rsid w:val="00C048E5"/>
    <w:rsid w:val="00C06A69"/>
    <w:rsid w:val="00C12B3D"/>
    <w:rsid w:val="00C1375E"/>
    <w:rsid w:val="00C1397E"/>
    <w:rsid w:val="00C15713"/>
    <w:rsid w:val="00C16161"/>
    <w:rsid w:val="00C1692B"/>
    <w:rsid w:val="00C169EB"/>
    <w:rsid w:val="00C213DD"/>
    <w:rsid w:val="00C22BD2"/>
    <w:rsid w:val="00C22BE6"/>
    <w:rsid w:val="00C2400A"/>
    <w:rsid w:val="00C2415D"/>
    <w:rsid w:val="00C2696F"/>
    <w:rsid w:val="00C26DDA"/>
    <w:rsid w:val="00C27DD9"/>
    <w:rsid w:val="00C32B63"/>
    <w:rsid w:val="00C333DE"/>
    <w:rsid w:val="00C336FC"/>
    <w:rsid w:val="00C34AD3"/>
    <w:rsid w:val="00C34DE1"/>
    <w:rsid w:val="00C35509"/>
    <w:rsid w:val="00C37D96"/>
    <w:rsid w:val="00C43842"/>
    <w:rsid w:val="00C44235"/>
    <w:rsid w:val="00C44A1A"/>
    <w:rsid w:val="00C46607"/>
    <w:rsid w:val="00C47D68"/>
    <w:rsid w:val="00C5015C"/>
    <w:rsid w:val="00C50897"/>
    <w:rsid w:val="00C50A68"/>
    <w:rsid w:val="00C510D6"/>
    <w:rsid w:val="00C520BB"/>
    <w:rsid w:val="00C53D8E"/>
    <w:rsid w:val="00C54E7C"/>
    <w:rsid w:val="00C55CD3"/>
    <w:rsid w:val="00C5653E"/>
    <w:rsid w:val="00C62D24"/>
    <w:rsid w:val="00C62EEA"/>
    <w:rsid w:val="00C67181"/>
    <w:rsid w:val="00C679DC"/>
    <w:rsid w:val="00C70A12"/>
    <w:rsid w:val="00C71126"/>
    <w:rsid w:val="00C734EE"/>
    <w:rsid w:val="00C73FBD"/>
    <w:rsid w:val="00C748A1"/>
    <w:rsid w:val="00C75610"/>
    <w:rsid w:val="00C75A85"/>
    <w:rsid w:val="00C76C84"/>
    <w:rsid w:val="00C77EB9"/>
    <w:rsid w:val="00C80D04"/>
    <w:rsid w:val="00C822B6"/>
    <w:rsid w:val="00C8282B"/>
    <w:rsid w:val="00C829C7"/>
    <w:rsid w:val="00C82AE2"/>
    <w:rsid w:val="00C82B87"/>
    <w:rsid w:val="00C843E4"/>
    <w:rsid w:val="00C861F0"/>
    <w:rsid w:val="00C91494"/>
    <w:rsid w:val="00C91788"/>
    <w:rsid w:val="00C93912"/>
    <w:rsid w:val="00C944B2"/>
    <w:rsid w:val="00C95904"/>
    <w:rsid w:val="00C95B86"/>
    <w:rsid w:val="00C96438"/>
    <w:rsid w:val="00CA1711"/>
    <w:rsid w:val="00CA2D9F"/>
    <w:rsid w:val="00CA4AC4"/>
    <w:rsid w:val="00CA4B13"/>
    <w:rsid w:val="00CA7822"/>
    <w:rsid w:val="00CA7E99"/>
    <w:rsid w:val="00CB0836"/>
    <w:rsid w:val="00CB0B5C"/>
    <w:rsid w:val="00CB0DAC"/>
    <w:rsid w:val="00CB0ED0"/>
    <w:rsid w:val="00CB13C0"/>
    <w:rsid w:val="00CB281C"/>
    <w:rsid w:val="00CB4628"/>
    <w:rsid w:val="00CB49F3"/>
    <w:rsid w:val="00CB5704"/>
    <w:rsid w:val="00CB5C9C"/>
    <w:rsid w:val="00CB79C8"/>
    <w:rsid w:val="00CC07FC"/>
    <w:rsid w:val="00CC09AE"/>
    <w:rsid w:val="00CC0BAE"/>
    <w:rsid w:val="00CC0D5D"/>
    <w:rsid w:val="00CC104D"/>
    <w:rsid w:val="00CC1431"/>
    <w:rsid w:val="00CC279A"/>
    <w:rsid w:val="00CC647E"/>
    <w:rsid w:val="00CC722C"/>
    <w:rsid w:val="00CC73F0"/>
    <w:rsid w:val="00CC7E2B"/>
    <w:rsid w:val="00CD0AA1"/>
    <w:rsid w:val="00CD2D3F"/>
    <w:rsid w:val="00CD5932"/>
    <w:rsid w:val="00CD5D29"/>
    <w:rsid w:val="00CD64DB"/>
    <w:rsid w:val="00CD6FD0"/>
    <w:rsid w:val="00CE198E"/>
    <w:rsid w:val="00CE278A"/>
    <w:rsid w:val="00CE2C75"/>
    <w:rsid w:val="00CE32FF"/>
    <w:rsid w:val="00CE3FD1"/>
    <w:rsid w:val="00CF29A8"/>
    <w:rsid w:val="00CF393B"/>
    <w:rsid w:val="00CF4CF6"/>
    <w:rsid w:val="00D01C96"/>
    <w:rsid w:val="00D02A06"/>
    <w:rsid w:val="00D04830"/>
    <w:rsid w:val="00D0501A"/>
    <w:rsid w:val="00D10283"/>
    <w:rsid w:val="00D10D38"/>
    <w:rsid w:val="00D1326D"/>
    <w:rsid w:val="00D145F4"/>
    <w:rsid w:val="00D14B05"/>
    <w:rsid w:val="00D173F3"/>
    <w:rsid w:val="00D2278F"/>
    <w:rsid w:val="00D22AE3"/>
    <w:rsid w:val="00D25C77"/>
    <w:rsid w:val="00D2655B"/>
    <w:rsid w:val="00D30852"/>
    <w:rsid w:val="00D31C74"/>
    <w:rsid w:val="00D31FD5"/>
    <w:rsid w:val="00D33827"/>
    <w:rsid w:val="00D33AB2"/>
    <w:rsid w:val="00D350DC"/>
    <w:rsid w:val="00D35567"/>
    <w:rsid w:val="00D4099C"/>
    <w:rsid w:val="00D41EA1"/>
    <w:rsid w:val="00D42AD1"/>
    <w:rsid w:val="00D4339B"/>
    <w:rsid w:val="00D443AE"/>
    <w:rsid w:val="00D465BF"/>
    <w:rsid w:val="00D47EDD"/>
    <w:rsid w:val="00D50673"/>
    <w:rsid w:val="00D50DC8"/>
    <w:rsid w:val="00D52C72"/>
    <w:rsid w:val="00D53E05"/>
    <w:rsid w:val="00D5512E"/>
    <w:rsid w:val="00D557D9"/>
    <w:rsid w:val="00D56318"/>
    <w:rsid w:val="00D56844"/>
    <w:rsid w:val="00D56B03"/>
    <w:rsid w:val="00D609ED"/>
    <w:rsid w:val="00D618CF"/>
    <w:rsid w:val="00D62593"/>
    <w:rsid w:val="00D62A4C"/>
    <w:rsid w:val="00D649BB"/>
    <w:rsid w:val="00D64CFA"/>
    <w:rsid w:val="00D6584D"/>
    <w:rsid w:val="00D66223"/>
    <w:rsid w:val="00D679D8"/>
    <w:rsid w:val="00D67A8C"/>
    <w:rsid w:val="00D720FE"/>
    <w:rsid w:val="00D7275E"/>
    <w:rsid w:val="00D73229"/>
    <w:rsid w:val="00D74602"/>
    <w:rsid w:val="00D74BA4"/>
    <w:rsid w:val="00D7508C"/>
    <w:rsid w:val="00D8041A"/>
    <w:rsid w:val="00D80FDB"/>
    <w:rsid w:val="00D85957"/>
    <w:rsid w:val="00D929A4"/>
    <w:rsid w:val="00D943C6"/>
    <w:rsid w:val="00D94A47"/>
    <w:rsid w:val="00D95CFB"/>
    <w:rsid w:val="00D965BE"/>
    <w:rsid w:val="00D96D1E"/>
    <w:rsid w:val="00DA0952"/>
    <w:rsid w:val="00DA3EEC"/>
    <w:rsid w:val="00DA7A06"/>
    <w:rsid w:val="00DA7D9A"/>
    <w:rsid w:val="00DB1ADD"/>
    <w:rsid w:val="00DB45DC"/>
    <w:rsid w:val="00DB4D72"/>
    <w:rsid w:val="00DB59A9"/>
    <w:rsid w:val="00DB7F37"/>
    <w:rsid w:val="00DC0299"/>
    <w:rsid w:val="00DC0489"/>
    <w:rsid w:val="00DC051C"/>
    <w:rsid w:val="00DC0954"/>
    <w:rsid w:val="00DC2A39"/>
    <w:rsid w:val="00DC3687"/>
    <w:rsid w:val="00DC4FAD"/>
    <w:rsid w:val="00DC5174"/>
    <w:rsid w:val="00DC5DE7"/>
    <w:rsid w:val="00DC603A"/>
    <w:rsid w:val="00DC60BA"/>
    <w:rsid w:val="00DC7103"/>
    <w:rsid w:val="00DC749D"/>
    <w:rsid w:val="00DD3801"/>
    <w:rsid w:val="00DD3841"/>
    <w:rsid w:val="00DD6189"/>
    <w:rsid w:val="00DD77FD"/>
    <w:rsid w:val="00DE0987"/>
    <w:rsid w:val="00DE0D6C"/>
    <w:rsid w:val="00DE1524"/>
    <w:rsid w:val="00DE2980"/>
    <w:rsid w:val="00DE5260"/>
    <w:rsid w:val="00DE6122"/>
    <w:rsid w:val="00DE6648"/>
    <w:rsid w:val="00DE68A7"/>
    <w:rsid w:val="00DF10BE"/>
    <w:rsid w:val="00DF2004"/>
    <w:rsid w:val="00DF21F7"/>
    <w:rsid w:val="00DF22AA"/>
    <w:rsid w:val="00DF43DE"/>
    <w:rsid w:val="00DF529B"/>
    <w:rsid w:val="00DF7B3D"/>
    <w:rsid w:val="00E03B17"/>
    <w:rsid w:val="00E03C8F"/>
    <w:rsid w:val="00E06024"/>
    <w:rsid w:val="00E060DC"/>
    <w:rsid w:val="00E0683E"/>
    <w:rsid w:val="00E13CC9"/>
    <w:rsid w:val="00E140DA"/>
    <w:rsid w:val="00E20AC2"/>
    <w:rsid w:val="00E23117"/>
    <w:rsid w:val="00E24C42"/>
    <w:rsid w:val="00E24DB5"/>
    <w:rsid w:val="00E26A6C"/>
    <w:rsid w:val="00E26B58"/>
    <w:rsid w:val="00E26D0F"/>
    <w:rsid w:val="00E30975"/>
    <w:rsid w:val="00E3181A"/>
    <w:rsid w:val="00E31F45"/>
    <w:rsid w:val="00E327EF"/>
    <w:rsid w:val="00E336E0"/>
    <w:rsid w:val="00E34915"/>
    <w:rsid w:val="00E37131"/>
    <w:rsid w:val="00E40144"/>
    <w:rsid w:val="00E40C85"/>
    <w:rsid w:val="00E42CD1"/>
    <w:rsid w:val="00E447BF"/>
    <w:rsid w:val="00E45521"/>
    <w:rsid w:val="00E45CE9"/>
    <w:rsid w:val="00E47C5C"/>
    <w:rsid w:val="00E47F01"/>
    <w:rsid w:val="00E509DC"/>
    <w:rsid w:val="00E53B73"/>
    <w:rsid w:val="00E55A1A"/>
    <w:rsid w:val="00E612E8"/>
    <w:rsid w:val="00E61C51"/>
    <w:rsid w:val="00E63077"/>
    <w:rsid w:val="00E63689"/>
    <w:rsid w:val="00E6468D"/>
    <w:rsid w:val="00E64DD2"/>
    <w:rsid w:val="00E6766A"/>
    <w:rsid w:val="00E67FC9"/>
    <w:rsid w:val="00E704E5"/>
    <w:rsid w:val="00E70F53"/>
    <w:rsid w:val="00E75056"/>
    <w:rsid w:val="00E77DC5"/>
    <w:rsid w:val="00E82880"/>
    <w:rsid w:val="00E82E4E"/>
    <w:rsid w:val="00E84C6D"/>
    <w:rsid w:val="00E85641"/>
    <w:rsid w:val="00E857D3"/>
    <w:rsid w:val="00E91FF6"/>
    <w:rsid w:val="00E927A3"/>
    <w:rsid w:val="00E92B21"/>
    <w:rsid w:val="00E93223"/>
    <w:rsid w:val="00E93D62"/>
    <w:rsid w:val="00E94906"/>
    <w:rsid w:val="00E9546C"/>
    <w:rsid w:val="00E95A5B"/>
    <w:rsid w:val="00E95C3C"/>
    <w:rsid w:val="00E95CFC"/>
    <w:rsid w:val="00EA2690"/>
    <w:rsid w:val="00EA38FD"/>
    <w:rsid w:val="00EA4D9A"/>
    <w:rsid w:val="00EA6095"/>
    <w:rsid w:val="00EB1D54"/>
    <w:rsid w:val="00EB37AB"/>
    <w:rsid w:val="00EB4E05"/>
    <w:rsid w:val="00EB574E"/>
    <w:rsid w:val="00EB7286"/>
    <w:rsid w:val="00EB7CBA"/>
    <w:rsid w:val="00EC042B"/>
    <w:rsid w:val="00EC0E86"/>
    <w:rsid w:val="00EC0F3B"/>
    <w:rsid w:val="00EC3266"/>
    <w:rsid w:val="00EC5D70"/>
    <w:rsid w:val="00ED108F"/>
    <w:rsid w:val="00ED1F05"/>
    <w:rsid w:val="00ED24C4"/>
    <w:rsid w:val="00ED5B50"/>
    <w:rsid w:val="00ED7D94"/>
    <w:rsid w:val="00ED7F6F"/>
    <w:rsid w:val="00EE2CD0"/>
    <w:rsid w:val="00EE2D2F"/>
    <w:rsid w:val="00EE3EC5"/>
    <w:rsid w:val="00EE47BA"/>
    <w:rsid w:val="00EE4CAA"/>
    <w:rsid w:val="00EE67B3"/>
    <w:rsid w:val="00EE68A3"/>
    <w:rsid w:val="00EF08E6"/>
    <w:rsid w:val="00EF2048"/>
    <w:rsid w:val="00EF300A"/>
    <w:rsid w:val="00EF3A51"/>
    <w:rsid w:val="00EF3D2A"/>
    <w:rsid w:val="00EF6D55"/>
    <w:rsid w:val="00EF77B6"/>
    <w:rsid w:val="00F02CC1"/>
    <w:rsid w:val="00F033D2"/>
    <w:rsid w:val="00F037EF"/>
    <w:rsid w:val="00F03B49"/>
    <w:rsid w:val="00F05B56"/>
    <w:rsid w:val="00F07A61"/>
    <w:rsid w:val="00F07BD1"/>
    <w:rsid w:val="00F07FFB"/>
    <w:rsid w:val="00F11C0C"/>
    <w:rsid w:val="00F15A2A"/>
    <w:rsid w:val="00F1609D"/>
    <w:rsid w:val="00F1666E"/>
    <w:rsid w:val="00F2082C"/>
    <w:rsid w:val="00F2086C"/>
    <w:rsid w:val="00F208E2"/>
    <w:rsid w:val="00F20967"/>
    <w:rsid w:val="00F21AD1"/>
    <w:rsid w:val="00F2219D"/>
    <w:rsid w:val="00F24539"/>
    <w:rsid w:val="00F249C6"/>
    <w:rsid w:val="00F25E4B"/>
    <w:rsid w:val="00F263D9"/>
    <w:rsid w:val="00F26730"/>
    <w:rsid w:val="00F27510"/>
    <w:rsid w:val="00F275AC"/>
    <w:rsid w:val="00F3274E"/>
    <w:rsid w:val="00F35351"/>
    <w:rsid w:val="00F35FD2"/>
    <w:rsid w:val="00F36167"/>
    <w:rsid w:val="00F37556"/>
    <w:rsid w:val="00F3786A"/>
    <w:rsid w:val="00F40C22"/>
    <w:rsid w:val="00F4298A"/>
    <w:rsid w:val="00F433E8"/>
    <w:rsid w:val="00F43857"/>
    <w:rsid w:val="00F51C42"/>
    <w:rsid w:val="00F6108F"/>
    <w:rsid w:val="00F61340"/>
    <w:rsid w:val="00F63C04"/>
    <w:rsid w:val="00F648B2"/>
    <w:rsid w:val="00F6617F"/>
    <w:rsid w:val="00F6685D"/>
    <w:rsid w:val="00F72EB3"/>
    <w:rsid w:val="00F74047"/>
    <w:rsid w:val="00F75911"/>
    <w:rsid w:val="00F7770D"/>
    <w:rsid w:val="00F77FE3"/>
    <w:rsid w:val="00F8213C"/>
    <w:rsid w:val="00F82611"/>
    <w:rsid w:val="00F87F05"/>
    <w:rsid w:val="00F91509"/>
    <w:rsid w:val="00F93E8F"/>
    <w:rsid w:val="00F94B1B"/>
    <w:rsid w:val="00F94FA1"/>
    <w:rsid w:val="00F97F25"/>
    <w:rsid w:val="00FA0537"/>
    <w:rsid w:val="00FA1184"/>
    <w:rsid w:val="00FA1386"/>
    <w:rsid w:val="00FA3D0D"/>
    <w:rsid w:val="00FA4370"/>
    <w:rsid w:val="00FA53F1"/>
    <w:rsid w:val="00FA58CE"/>
    <w:rsid w:val="00FA69DF"/>
    <w:rsid w:val="00FA7C11"/>
    <w:rsid w:val="00FB10B2"/>
    <w:rsid w:val="00FB1599"/>
    <w:rsid w:val="00FC2717"/>
    <w:rsid w:val="00FC284A"/>
    <w:rsid w:val="00FD005D"/>
    <w:rsid w:val="00FD081F"/>
    <w:rsid w:val="00FD0D5B"/>
    <w:rsid w:val="00FD0F7A"/>
    <w:rsid w:val="00FD47AE"/>
    <w:rsid w:val="00FD4D5A"/>
    <w:rsid w:val="00FD75DE"/>
    <w:rsid w:val="00FE3108"/>
    <w:rsid w:val="00FE3829"/>
    <w:rsid w:val="00FE3972"/>
    <w:rsid w:val="00FE3B24"/>
    <w:rsid w:val="00FE40CD"/>
    <w:rsid w:val="00FF56CF"/>
    <w:rsid w:val="00FF573D"/>
    <w:rsid w:val="00FF59B8"/>
    <w:rsid w:val="00FF69D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798B"/>
  </w:style>
  <w:style w:type="paragraph" w:styleId="Heading3">
    <w:name w:val="heading 3"/>
    <w:basedOn w:val="Normal"/>
    <w:link w:val="Heading3Char"/>
    <w:uiPriority w:val="9"/>
    <w:qFormat/>
    <w:rsid w:val="006C5FA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013EC3"/>
  </w:style>
  <w:style w:type="character" w:styleId="CommentReference">
    <w:name w:val="annotation reference"/>
    <w:basedOn w:val="DefaultParagraphFont"/>
    <w:uiPriority w:val="99"/>
    <w:semiHidden/>
    <w:unhideWhenUsed/>
    <w:rsid w:val="00ED1F05"/>
    <w:rPr>
      <w:sz w:val="16"/>
      <w:szCs w:val="16"/>
    </w:rPr>
  </w:style>
  <w:style w:type="paragraph" w:styleId="CommentText">
    <w:name w:val="annotation text"/>
    <w:basedOn w:val="Normal"/>
    <w:link w:val="CommentTextChar"/>
    <w:uiPriority w:val="99"/>
    <w:semiHidden/>
    <w:unhideWhenUsed/>
    <w:rsid w:val="00ED1F05"/>
    <w:pPr>
      <w:spacing w:line="240" w:lineRule="auto"/>
    </w:pPr>
    <w:rPr>
      <w:sz w:val="20"/>
      <w:szCs w:val="20"/>
    </w:rPr>
  </w:style>
  <w:style w:type="character" w:customStyle="1" w:styleId="CommentTextChar">
    <w:name w:val="Comment Text Char"/>
    <w:basedOn w:val="DefaultParagraphFont"/>
    <w:link w:val="CommentText"/>
    <w:uiPriority w:val="99"/>
    <w:semiHidden/>
    <w:rsid w:val="00ED1F05"/>
    <w:rPr>
      <w:sz w:val="20"/>
      <w:szCs w:val="20"/>
    </w:rPr>
  </w:style>
  <w:style w:type="paragraph" w:styleId="CommentSubject">
    <w:name w:val="annotation subject"/>
    <w:basedOn w:val="CommentText"/>
    <w:next w:val="CommentText"/>
    <w:link w:val="CommentSubjectChar"/>
    <w:uiPriority w:val="99"/>
    <w:semiHidden/>
    <w:unhideWhenUsed/>
    <w:rsid w:val="00ED1F05"/>
    <w:rPr>
      <w:b/>
      <w:bCs/>
    </w:rPr>
  </w:style>
  <w:style w:type="character" w:customStyle="1" w:styleId="CommentSubjectChar">
    <w:name w:val="Comment Subject Char"/>
    <w:basedOn w:val="CommentTextChar"/>
    <w:link w:val="CommentSubject"/>
    <w:uiPriority w:val="99"/>
    <w:semiHidden/>
    <w:rsid w:val="00ED1F05"/>
    <w:rPr>
      <w:b/>
      <w:bCs/>
      <w:sz w:val="20"/>
      <w:szCs w:val="20"/>
    </w:rPr>
  </w:style>
  <w:style w:type="paragraph" w:styleId="BalloonText">
    <w:name w:val="Balloon Text"/>
    <w:basedOn w:val="Normal"/>
    <w:link w:val="BalloonTextChar"/>
    <w:uiPriority w:val="99"/>
    <w:semiHidden/>
    <w:unhideWhenUsed/>
    <w:rsid w:val="00E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1F05"/>
    <w:rPr>
      <w:rFonts w:ascii="Tahoma" w:hAnsi="Tahoma" w:cs="Tahoma"/>
      <w:sz w:val="16"/>
      <w:szCs w:val="16"/>
    </w:rPr>
  </w:style>
  <w:style w:type="paragraph" w:styleId="FootnoteText">
    <w:name w:val="footnote text"/>
    <w:basedOn w:val="Normal"/>
    <w:link w:val="FootnoteTextChar"/>
    <w:uiPriority w:val="99"/>
    <w:unhideWhenUsed/>
    <w:rsid w:val="00513E81"/>
    <w:pPr>
      <w:spacing w:after="0" w:line="360" w:lineRule="auto"/>
      <w:jc w:val="both"/>
    </w:pPr>
    <w:rPr>
      <w:rFonts w:asciiTheme="minorBidi" w:hAnsiTheme="minorBidi" w:cs="Arial"/>
      <w:sz w:val="20"/>
      <w:szCs w:val="20"/>
    </w:rPr>
  </w:style>
  <w:style w:type="character" w:customStyle="1" w:styleId="FootnoteTextChar">
    <w:name w:val="Footnote Text Char"/>
    <w:basedOn w:val="DefaultParagraphFont"/>
    <w:link w:val="FootnoteText"/>
    <w:uiPriority w:val="99"/>
    <w:rsid w:val="00513E81"/>
    <w:rPr>
      <w:rFonts w:asciiTheme="minorBidi" w:hAnsiTheme="minorBidi" w:cs="Arial"/>
      <w:sz w:val="20"/>
      <w:szCs w:val="20"/>
    </w:rPr>
  </w:style>
  <w:style w:type="character" w:styleId="FootnoteReference">
    <w:name w:val="footnote reference"/>
    <w:basedOn w:val="DefaultParagraphFont"/>
    <w:uiPriority w:val="99"/>
    <w:semiHidden/>
    <w:unhideWhenUsed/>
    <w:rsid w:val="00F94FA1"/>
    <w:rPr>
      <w:vertAlign w:val="superscript"/>
    </w:rPr>
  </w:style>
  <w:style w:type="paragraph" w:styleId="Revision">
    <w:name w:val="Revision"/>
    <w:hidden/>
    <w:uiPriority w:val="99"/>
    <w:semiHidden/>
    <w:rsid w:val="002D0CA4"/>
    <w:pPr>
      <w:spacing w:after="0" w:line="240" w:lineRule="auto"/>
    </w:pPr>
  </w:style>
  <w:style w:type="paragraph" w:styleId="ListParagraph">
    <w:name w:val="List Paragraph"/>
    <w:basedOn w:val="Normal"/>
    <w:uiPriority w:val="34"/>
    <w:qFormat/>
    <w:rsid w:val="0064344D"/>
    <w:pPr>
      <w:ind w:left="720"/>
      <w:contextualSpacing/>
    </w:pPr>
  </w:style>
  <w:style w:type="table" w:styleId="TableGrid">
    <w:name w:val="Table Grid"/>
    <w:basedOn w:val="TableNormal"/>
    <w:uiPriority w:val="59"/>
    <w:rsid w:val="001A1A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6C5FAD"/>
    <w:rPr>
      <w:rFonts w:ascii="Times New Roman" w:eastAsia="Times New Roman" w:hAnsi="Times New Roman" w:cs="Times New Roman"/>
      <w:b/>
      <w:bCs/>
      <w:sz w:val="27"/>
      <w:szCs w:val="27"/>
    </w:rPr>
  </w:style>
  <w:style w:type="character" w:styleId="Emphasis">
    <w:name w:val="Emphasis"/>
    <w:basedOn w:val="DefaultParagraphFont"/>
    <w:uiPriority w:val="20"/>
    <w:qFormat/>
    <w:rsid w:val="006C5FAD"/>
    <w:rPr>
      <w:i/>
      <w:iCs/>
    </w:rPr>
  </w:style>
  <w:style w:type="character" w:styleId="Hyperlink">
    <w:name w:val="Hyperlink"/>
    <w:basedOn w:val="DefaultParagraphFont"/>
    <w:uiPriority w:val="99"/>
    <w:unhideWhenUsed/>
    <w:rsid w:val="00844414"/>
    <w:rPr>
      <w:color w:val="0000FF" w:themeColor="hyperlink"/>
      <w:u w:val="single"/>
    </w:rPr>
  </w:style>
  <w:style w:type="character" w:styleId="FollowedHyperlink">
    <w:name w:val="FollowedHyperlink"/>
    <w:basedOn w:val="DefaultParagraphFont"/>
    <w:uiPriority w:val="99"/>
    <w:semiHidden/>
    <w:unhideWhenUsed/>
    <w:rsid w:val="00844414"/>
    <w:rPr>
      <w:color w:val="800080" w:themeColor="followedHyperlink"/>
      <w:u w:val="single"/>
    </w:rPr>
  </w:style>
  <w:style w:type="paragraph" w:styleId="Header">
    <w:name w:val="header"/>
    <w:basedOn w:val="Normal"/>
    <w:link w:val="HeaderChar"/>
    <w:uiPriority w:val="99"/>
    <w:unhideWhenUsed/>
    <w:rsid w:val="0014188A"/>
    <w:pPr>
      <w:tabs>
        <w:tab w:val="center" w:pos="4320"/>
        <w:tab w:val="right" w:pos="8640"/>
      </w:tabs>
      <w:spacing w:after="0" w:line="240" w:lineRule="auto"/>
    </w:pPr>
  </w:style>
  <w:style w:type="character" w:customStyle="1" w:styleId="HeaderChar">
    <w:name w:val="Header Char"/>
    <w:basedOn w:val="DefaultParagraphFont"/>
    <w:link w:val="Header"/>
    <w:uiPriority w:val="99"/>
    <w:rsid w:val="0014188A"/>
  </w:style>
  <w:style w:type="paragraph" w:styleId="Footer">
    <w:name w:val="footer"/>
    <w:basedOn w:val="Normal"/>
    <w:link w:val="FooterChar"/>
    <w:uiPriority w:val="99"/>
    <w:unhideWhenUsed/>
    <w:rsid w:val="0014188A"/>
    <w:pPr>
      <w:tabs>
        <w:tab w:val="center" w:pos="4320"/>
        <w:tab w:val="right" w:pos="8640"/>
      </w:tabs>
      <w:spacing w:after="0" w:line="240" w:lineRule="auto"/>
    </w:pPr>
  </w:style>
  <w:style w:type="character" w:customStyle="1" w:styleId="FooterChar">
    <w:name w:val="Footer Char"/>
    <w:basedOn w:val="DefaultParagraphFont"/>
    <w:link w:val="Footer"/>
    <w:uiPriority w:val="99"/>
    <w:rsid w:val="0014188A"/>
  </w:style>
  <w:style w:type="paragraph" w:customStyle="1" w:styleId="CC">
    <w:name w:val="CC"/>
    <w:basedOn w:val="BodyText"/>
    <w:uiPriority w:val="99"/>
    <w:rsid w:val="0014188A"/>
    <w:pPr>
      <w:keepLines/>
      <w:widowControl w:val="0"/>
      <w:autoSpaceDE w:val="0"/>
      <w:autoSpaceDN w:val="0"/>
      <w:spacing w:after="160" w:line="240" w:lineRule="auto"/>
      <w:ind w:left="360" w:hanging="360"/>
    </w:pPr>
    <w:rPr>
      <w:rFonts w:ascii="CG Times" w:eastAsia="Calibri" w:hAnsi="CG Times" w:cs="Times New Roman"/>
      <w:b/>
      <w:sz w:val="20"/>
      <w:szCs w:val="20"/>
    </w:rPr>
  </w:style>
  <w:style w:type="paragraph" w:styleId="BodyText">
    <w:name w:val="Body Text"/>
    <w:basedOn w:val="Normal"/>
    <w:link w:val="BodyTextChar"/>
    <w:uiPriority w:val="99"/>
    <w:semiHidden/>
    <w:unhideWhenUsed/>
    <w:rsid w:val="0014188A"/>
    <w:pPr>
      <w:spacing w:after="120"/>
    </w:pPr>
  </w:style>
  <w:style w:type="character" w:customStyle="1" w:styleId="BodyTextChar">
    <w:name w:val="Body Text Char"/>
    <w:basedOn w:val="DefaultParagraphFont"/>
    <w:link w:val="BodyText"/>
    <w:uiPriority w:val="99"/>
    <w:semiHidden/>
    <w:rsid w:val="0014188A"/>
  </w:style>
  <w:style w:type="paragraph" w:styleId="Caption">
    <w:name w:val="caption"/>
    <w:basedOn w:val="Normal"/>
    <w:next w:val="Normal"/>
    <w:uiPriority w:val="35"/>
    <w:unhideWhenUsed/>
    <w:qFormat/>
    <w:rsid w:val="00C53D8E"/>
    <w:pPr>
      <w:spacing w:line="240" w:lineRule="auto"/>
    </w:pPr>
    <w:rPr>
      <w:b/>
      <w:bCs/>
      <w:color w:val="4F81BD" w:themeColor="accent1"/>
      <w:sz w:val="18"/>
      <w:szCs w:val="18"/>
    </w:rPr>
  </w:style>
  <w:style w:type="character" w:customStyle="1" w:styleId="unicode">
    <w:name w:val="unicode"/>
    <w:basedOn w:val="DefaultParagraphFont"/>
    <w:rsid w:val="00261B5C"/>
  </w:style>
  <w:style w:type="character" w:styleId="Strong">
    <w:name w:val="Strong"/>
    <w:basedOn w:val="DefaultParagraphFont"/>
    <w:uiPriority w:val="22"/>
    <w:qFormat/>
    <w:rsid w:val="00BD7989"/>
    <w:rPr>
      <w:b/>
      <w:bCs/>
    </w:rPr>
  </w:style>
  <w:style w:type="paragraph" w:styleId="DocumentMap">
    <w:name w:val="Document Map"/>
    <w:basedOn w:val="Normal"/>
    <w:link w:val="DocumentMapChar"/>
    <w:uiPriority w:val="99"/>
    <w:semiHidden/>
    <w:unhideWhenUsed/>
    <w:rsid w:val="00EF6D5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F6D5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134268">
      <w:bodyDiv w:val="1"/>
      <w:marLeft w:val="0"/>
      <w:marRight w:val="0"/>
      <w:marTop w:val="0"/>
      <w:marBottom w:val="0"/>
      <w:divBdr>
        <w:top w:val="none" w:sz="0" w:space="0" w:color="auto"/>
        <w:left w:val="none" w:sz="0" w:space="0" w:color="auto"/>
        <w:bottom w:val="none" w:sz="0" w:space="0" w:color="auto"/>
        <w:right w:val="none" w:sz="0" w:space="0" w:color="auto"/>
      </w:divBdr>
    </w:div>
    <w:div w:id="687367414">
      <w:bodyDiv w:val="1"/>
      <w:marLeft w:val="0"/>
      <w:marRight w:val="0"/>
      <w:marTop w:val="0"/>
      <w:marBottom w:val="0"/>
      <w:divBdr>
        <w:top w:val="none" w:sz="0" w:space="0" w:color="auto"/>
        <w:left w:val="none" w:sz="0" w:space="0" w:color="auto"/>
        <w:bottom w:val="none" w:sz="0" w:space="0" w:color="auto"/>
        <w:right w:val="none" w:sz="0" w:space="0" w:color="auto"/>
      </w:divBdr>
    </w:div>
    <w:div w:id="907231488">
      <w:bodyDiv w:val="1"/>
      <w:marLeft w:val="0"/>
      <w:marRight w:val="0"/>
      <w:marTop w:val="0"/>
      <w:marBottom w:val="0"/>
      <w:divBdr>
        <w:top w:val="none" w:sz="0" w:space="0" w:color="auto"/>
        <w:left w:val="none" w:sz="0" w:space="0" w:color="auto"/>
        <w:bottom w:val="none" w:sz="0" w:space="0" w:color="auto"/>
        <w:right w:val="none" w:sz="0" w:space="0" w:color="auto"/>
      </w:divBdr>
    </w:div>
    <w:div w:id="1124350831">
      <w:bodyDiv w:val="1"/>
      <w:marLeft w:val="0"/>
      <w:marRight w:val="0"/>
      <w:marTop w:val="0"/>
      <w:marBottom w:val="0"/>
      <w:divBdr>
        <w:top w:val="none" w:sz="0" w:space="0" w:color="auto"/>
        <w:left w:val="none" w:sz="0" w:space="0" w:color="auto"/>
        <w:bottom w:val="none" w:sz="0" w:space="0" w:color="auto"/>
        <w:right w:val="none" w:sz="0" w:space="0" w:color="auto"/>
      </w:divBdr>
    </w:div>
    <w:div w:id="1487240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5FEB73-76D1-4C8C-82EE-37D7D802D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4662</Words>
  <Characters>26575</Characters>
  <Application>Microsoft Office Word</Application>
  <DocSecurity>0</DocSecurity>
  <Lines>221</Lines>
  <Paragraphs>62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DL</dc:creator>
  <cp:lastModifiedBy>tmpUser</cp:lastModifiedBy>
  <cp:revision>3</cp:revision>
  <cp:lastPrinted>2015-05-22T01:54:00Z</cp:lastPrinted>
  <dcterms:created xsi:type="dcterms:W3CDTF">2015-05-27T08:34:00Z</dcterms:created>
  <dcterms:modified xsi:type="dcterms:W3CDTF">2015-05-27T08:44:00Z</dcterms:modified>
</cp:coreProperties>
</file>