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648A503E"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4C65D0">
        <w:rPr>
          <w:rFonts w:ascii="Heebo" w:hAnsi="Heebo" w:cs="Heebo" w:hint="cs"/>
          <w:rtl/>
        </w:rPr>
        <w:t xml:space="preserve">ברוך </w:t>
      </w:r>
      <w:proofErr w:type="spellStart"/>
      <w:r w:rsidR="004C65D0">
        <w:rPr>
          <w:rFonts w:ascii="Heebo" w:hAnsi="Heebo" w:cs="Heebo" w:hint="cs"/>
          <w:rtl/>
        </w:rPr>
        <w:t>גיגי</w:t>
      </w:r>
      <w:proofErr w:type="spellEnd"/>
      <w:r w:rsidR="00723DC7">
        <w:rPr>
          <w:rFonts w:ascii="Heebo" w:hAnsi="Heebo" w:cs="Heebo" w:hint="cs"/>
          <w:rtl/>
        </w:rPr>
        <w:t xml:space="preserve">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30F7301D" w:rsidR="00685E21" w:rsidRPr="000933E7" w:rsidRDefault="002D7DF4" w:rsidP="000933E7">
      <w:pPr>
        <w:pStyle w:val="a"/>
        <w:rPr>
          <w:rFonts w:ascii="Heebo" w:hAnsi="Heebo" w:cs="Heebo"/>
          <w:rtl/>
        </w:rPr>
      </w:pPr>
      <w:r w:rsidRPr="000933E7">
        <w:rPr>
          <w:rFonts w:ascii="Heebo" w:hAnsi="Heebo" w:cs="Heebo"/>
          <w:rtl/>
        </w:rPr>
        <w:t xml:space="preserve">שיחה </w:t>
      </w:r>
      <w:r w:rsidR="00367D19">
        <w:rPr>
          <w:rFonts w:ascii="Heebo" w:hAnsi="Heebo" w:cs="Heebo" w:hint="cs"/>
          <w:rtl/>
        </w:rPr>
        <w:t>ל</w:t>
      </w:r>
      <w:r w:rsidR="00CB3409">
        <w:rPr>
          <w:rFonts w:ascii="Heebo" w:hAnsi="Heebo" w:cs="Heebo" w:hint="cs"/>
          <w:rtl/>
        </w:rPr>
        <w:t xml:space="preserve">פרשת </w:t>
      </w:r>
      <w:r w:rsidR="004C65D0">
        <w:rPr>
          <w:rFonts w:ascii="Heebo" w:hAnsi="Heebo" w:cs="Heebo" w:hint="cs"/>
          <w:rtl/>
        </w:rPr>
        <w:t>נשא</w:t>
      </w:r>
    </w:p>
    <w:p w14:paraId="43E73A19" w14:textId="16DFFEF2" w:rsidR="00685E21" w:rsidRPr="000933E7" w:rsidRDefault="00663D03" w:rsidP="000933E7">
      <w:pPr>
        <w:pStyle w:val="Heading1"/>
        <w:rPr>
          <w:sz w:val="22"/>
          <w:szCs w:val="46"/>
        </w:rPr>
      </w:pPr>
      <w:bookmarkStart w:id="0" w:name="OLE_LINK1"/>
      <w:r>
        <w:rPr>
          <w:rFonts w:hint="cs"/>
          <w:rtl/>
        </w:rPr>
        <w:t>"כל ימי נזרו קדוש הוא לה'</w:t>
      </w:r>
      <w:r>
        <w:rPr>
          <w:rStyle w:val="FootnoteReference"/>
          <w:rFonts w:ascii="Heebo" w:eastAsiaTheme="majorEastAsia" w:hAnsi="Heebo" w:cs="Heebo" w:hint="cs"/>
          <w:sz w:val="40"/>
          <w:szCs w:val="40"/>
          <w:rtl/>
        </w:rPr>
        <w:t>"</w:t>
      </w:r>
      <w:r w:rsidR="000754EF" w:rsidRPr="000933E7">
        <w:rPr>
          <w:rStyle w:val="FootnoteReference"/>
          <w:rFonts w:ascii="Heebo" w:eastAsiaTheme="majorEastAsia" w:hAnsi="Heebo" w:cs="Heebo"/>
          <w:sz w:val="40"/>
          <w:szCs w:val="40"/>
          <w:rtl/>
        </w:rPr>
        <w:footnoteReference w:customMarkFollows="1" w:id="2"/>
        <w:t>*</w:t>
      </w:r>
    </w:p>
    <w:bookmarkEnd w:id="0"/>
    <w:p w14:paraId="19A109E2" w14:textId="77777777" w:rsidR="004C65D0" w:rsidRPr="004C65D0" w:rsidRDefault="004C65D0" w:rsidP="00A30B21">
      <w:pPr>
        <w:rPr>
          <w:rtl/>
        </w:rPr>
      </w:pPr>
      <w:r w:rsidRPr="004C65D0">
        <w:rPr>
          <w:rtl/>
        </w:rPr>
        <w:t>פרשתנו ממשיכה את המגמה שהחלה בפרשה הקודמת, פרשת 'במדבר'. כחברתה, גם פרשתנו ממשיכה בתיאור סידור המחנה לקראת המסע העתידי לעבר הארץ המובטחת: היא פותחת בתיאור המשכו של מניין הלוויים, עוברת להבדלה הפנימית בין המחנות השונים, וכלה בתיאור טקס חנוכת המשכן.</w:t>
      </w:r>
    </w:p>
    <w:p w14:paraId="5204F1C7" w14:textId="5D612B53" w:rsidR="004C65D0" w:rsidRPr="004C65D0" w:rsidRDefault="004C65D0" w:rsidP="00A30B21">
      <w:pPr>
        <w:rPr>
          <w:rtl/>
        </w:rPr>
      </w:pPr>
      <w:r w:rsidRPr="004C65D0">
        <w:rPr>
          <w:rtl/>
        </w:rPr>
        <w:t xml:space="preserve">אלא שבאמצע הפרשה, </w:t>
      </w:r>
      <w:r w:rsidR="000A4E15">
        <w:rPr>
          <w:rFonts w:hint="cs"/>
          <w:rtl/>
        </w:rPr>
        <w:t xml:space="preserve">הרצף נקטע בחדות: </w:t>
      </w:r>
      <w:r w:rsidRPr="004C65D0">
        <w:rPr>
          <w:rtl/>
        </w:rPr>
        <w:t xml:space="preserve">בתוך תיאורי סידור המחנה, פתאום מופיעות שלוש פרשיות שאינן ממין העניין – סוטה, נזיר וברכת כהנים. תופעה זו איננה ייחודית לפרשתנו, והיא חוזרת פעמים רבות במהלך החומש: התורה מתארת את קורותיו של העם, ופתאום עוברת לדון בדינים הלכתיים שאינם חלק מן העלילה. כל </w:t>
      </w:r>
      <w:r w:rsidR="000A4E15">
        <w:rPr>
          <w:rFonts w:hint="cs"/>
          <w:rtl/>
        </w:rPr>
        <w:t>קטיעה</w:t>
      </w:r>
      <w:r w:rsidRPr="004C65D0">
        <w:rPr>
          <w:rtl/>
        </w:rPr>
        <w:t xml:space="preserve"> שכז</w:t>
      </w:r>
      <w:r w:rsidR="000A4E15">
        <w:rPr>
          <w:rFonts w:hint="cs"/>
          <w:rtl/>
        </w:rPr>
        <w:t>ו</w:t>
      </w:r>
      <w:r w:rsidRPr="004C65D0">
        <w:rPr>
          <w:rtl/>
        </w:rPr>
        <w:t xml:space="preserve"> מזמי</w:t>
      </w:r>
      <w:r w:rsidR="000A4E15">
        <w:rPr>
          <w:rFonts w:hint="cs"/>
          <w:rtl/>
        </w:rPr>
        <w:t>נה</w:t>
      </w:r>
      <w:r w:rsidRPr="004C65D0">
        <w:rPr>
          <w:rtl/>
        </w:rPr>
        <w:t xml:space="preserve"> אותנו לדרוש </w:t>
      </w:r>
      <w:r w:rsidR="000A4E15">
        <w:rPr>
          <w:rFonts w:hint="cs"/>
          <w:rtl/>
        </w:rPr>
        <w:t xml:space="preserve">ולברר, </w:t>
      </w:r>
      <w:r w:rsidRPr="004C65D0">
        <w:rPr>
          <w:rtl/>
        </w:rPr>
        <w:t xml:space="preserve">מדוע ראתה התורה </w:t>
      </w:r>
      <w:r w:rsidR="001465CF" w:rsidRPr="001465CF">
        <w:rPr>
          <w:rtl/>
        </w:rPr>
        <w:t>לִשְׁנוֹת</w:t>
      </w:r>
      <w:r w:rsidRPr="004C65D0">
        <w:rPr>
          <w:rtl/>
        </w:rPr>
        <w:t xml:space="preserve"> דינים אלו דווקא כאן.</w:t>
      </w:r>
    </w:p>
    <w:p w14:paraId="35F0E5BB" w14:textId="77777777" w:rsidR="00021B99" w:rsidRDefault="003F11CE" w:rsidP="00A30B21">
      <w:pPr>
        <w:rPr>
          <w:rtl/>
        </w:rPr>
      </w:pPr>
      <w:r>
        <w:rPr>
          <w:rFonts w:hint="cs"/>
          <w:rtl/>
        </w:rPr>
        <w:t xml:space="preserve">כאמור, </w:t>
      </w:r>
      <w:r w:rsidR="00F2657A">
        <w:rPr>
          <w:rFonts w:hint="cs"/>
          <w:rtl/>
        </w:rPr>
        <w:t>הפר</w:t>
      </w:r>
      <w:r w:rsidR="00F62771">
        <w:rPr>
          <w:rFonts w:hint="cs"/>
          <w:rtl/>
        </w:rPr>
        <w:t>שה עוסקת בסדרי המחנה; והאידאל המנחה אותם הוא ההיערכות מסביב למשכ</w:t>
      </w:r>
      <w:r w:rsidR="004C65D0" w:rsidRPr="004C65D0">
        <w:rPr>
          <w:rtl/>
        </w:rPr>
        <w:t>ן</w:t>
      </w:r>
      <w:r w:rsidR="00316BF4">
        <w:rPr>
          <w:rFonts w:hint="cs"/>
          <w:rtl/>
        </w:rPr>
        <w:t xml:space="preserve"> </w:t>
      </w:r>
      <w:r w:rsidR="00316BF4">
        <w:rPr>
          <w:rtl/>
        </w:rPr>
        <w:t>–</w:t>
      </w:r>
      <w:r w:rsidR="00316BF4">
        <w:rPr>
          <w:rFonts w:hint="cs"/>
          <w:rtl/>
        </w:rPr>
        <w:t xml:space="preserve"> מבפנים הלויים למשפחותיהם:</w:t>
      </w:r>
      <w:r w:rsidR="004C65D0" w:rsidRPr="004C65D0">
        <w:rPr>
          <w:rtl/>
        </w:rPr>
        <w:t xml:space="preserve"> </w:t>
      </w:r>
      <w:r w:rsidR="00316BF4">
        <w:rPr>
          <w:rFonts w:hint="cs"/>
          <w:rtl/>
        </w:rPr>
        <w:t>"</w:t>
      </w:r>
      <w:proofErr w:type="spellStart"/>
      <w:r w:rsidR="00A74006" w:rsidRPr="00A74006">
        <w:rPr>
          <w:rtl/>
        </w:rPr>
        <w:t>וְהַלְוִיִּם</w:t>
      </w:r>
      <w:proofErr w:type="spellEnd"/>
      <w:r w:rsidR="00A74006" w:rsidRPr="00A74006">
        <w:rPr>
          <w:rtl/>
        </w:rPr>
        <w:t xml:space="preserve"> יַחֲנוּ סָבִיב לְמִשְׁכַּן</w:t>
      </w:r>
      <w:r w:rsidR="004C65D0" w:rsidRPr="004C65D0">
        <w:rPr>
          <w:rtl/>
        </w:rPr>
        <w:t>"</w:t>
      </w:r>
      <w:r w:rsidR="00316BF4">
        <w:rPr>
          <w:rFonts w:hint="cs"/>
          <w:rtl/>
        </w:rPr>
        <w:t xml:space="preserve"> </w:t>
      </w:r>
      <w:r w:rsidR="00316BF4" w:rsidRPr="00316BF4">
        <w:rPr>
          <w:rFonts w:hint="cs"/>
          <w:sz w:val="14"/>
          <w:szCs w:val="18"/>
          <w:rtl/>
        </w:rPr>
        <w:t xml:space="preserve">(במדבר </w:t>
      </w:r>
      <w:r w:rsidR="00021B99">
        <w:rPr>
          <w:rFonts w:hint="cs"/>
          <w:sz w:val="14"/>
          <w:szCs w:val="18"/>
          <w:rtl/>
        </w:rPr>
        <w:t>א</w:t>
      </w:r>
      <w:r w:rsidR="00316BF4" w:rsidRPr="00316BF4">
        <w:rPr>
          <w:rFonts w:hint="cs"/>
          <w:sz w:val="14"/>
          <w:szCs w:val="18"/>
          <w:rtl/>
        </w:rPr>
        <w:t xml:space="preserve">, </w:t>
      </w:r>
      <w:r w:rsidR="00021B99">
        <w:rPr>
          <w:rFonts w:hint="cs"/>
          <w:sz w:val="14"/>
          <w:szCs w:val="18"/>
          <w:rtl/>
        </w:rPr>
        <w:t>נג</w:t>
      </w:r>
      <w:r w:rsidR="00316BF4" w:rsidRPr="00316BF4">
        <w:rPr>
          <w:rFonts w:hint="cs"/>
          <w:sz w:val="14"/>
          <w:szCs w:val="18"/>
          <w:rtl/>
        </w:rPr>
        <w:t>)</w:t>
      </w:r>
      <w:r w:rsidR="004C65D0" w:rsidRPr="004C65D0">
        <w:rPr>
          <w:rtl/>
        </w:rPr>
        <w:t>;</w:t>
      </w:r>
      <w:r w:rsidR="00021B99">
        <w:rPr>
          <w:rFonts w:hint="cs"/>
          <w:rtl/>
        </w:rPr>
        <w:t xml:space="preserve"> ומקיפים להם שאר שבטי ישראל:</w:t>
      </w:r>
      <w:r w:rsidR="004C65D0" w:rsidRPr="004C65D0">
        <w:rPr>
          <w:rtl/>
        </w:rPr>
        <w:t xml:space="preserve"> "</w:t>
      </w:r>
      <w:r w:rsidR="000A43B1" w:rsidRPr="000A43B1">
        <w:rPr>
          <w:rtl/>
        </w:rPr>
        <w:t xml:space="preserve">אִישׁ עַל דִּגְלוֹ בְאֹתֹת לְבֵית </w:t>
      </w:r>
      <w:proofErr w:type="spellStart"/>
      <w:r w:rsidR="000A43B1" w:rsidRPr="000A43B1">
        <w:rPr>
          <w:rtl/>
        </w:rPr>
        <w:t>אֲבֹתָם</w:t>
      </w:r>
      <w:proofErr w:type="spellEnd"/>
      <w:r w:rsidR="000A43B1" w:rsidRPr="000A43B1">
        <w:rPr>
          <w:rtl/>
        </w:rPr>
        <w:t xml:space="preserve"> יַחֲנוּ בְּנֵי יִשְׂרָאֵל מִנֶּגֶד סָבִיב לְאֹהֶל מוֹעֵד יַחֲנוּ</w:t>
      </w:r>
      <w:r w:rsidR="004C65D0" w:rsidRPr="004C65D0">
        <w:rPr>
          <w:rtl/>
        </w:rPr>
        <w:t>"</w:t>
      </w:r>
      <w:r w:rsidR="00021B99">
        <w:rPr>
          <w:rFonts w:hint="cs"/>
          <w:rtl/>
        </w:rPr>
        <w:t xml:space="preserve"> </w:t>
      </w:r>
      <w:r w:rsidR="00021B99" w:rsidRPr="00021B99">
        <w:rPr>
          <w:rFonts w:hint="cs"/>
          <w:sz w:val="14"/>
          <w:szCs w:val="18"/>
          <w:rtl/>
        </w:rPr>
        <w:t>(שם ב, ב)</w:t>
      </w:r>
      <w:r w:rsidR="004C65D0" w:rsidRPr="004C65D0">
        <w:rPr>
          <w:rtl/>
        </w:rPr>
        <w:t xml:space="preserve">. </w:t>
      </w:r>
    </w:p>
    <w:p w14:paraId="22BC2E7F" w14:textId="5F42D341" w:rsidR="004C65D0" w:rsidRPr="004C65D0" w:rsidRDefault="004B4F8C" w:rsidP="00A30B21">
      <w:pPr>
        <w:rPr>
          <w:rtl/>
        </w:rPr>
      </w:pPr>
      <w:r>
        <w:rPr>
          <w:rFonts w:hint="cs"/>
          <w:rtl/>
        </w:rPr>
        <w:t>לאור העקרון המנחה הזה, ניתן להבין את</w:t>
      </w:r>
      <w:r w:rsidR="004C65D0" w:rsidRPr="004C65D0">
        <w:rPr>
          <w:rtl/>
        </w:rPr>
        <w:t xml:space="preserve"> הופעתם של הדינים </w:t>
      </w:r>
      <w:r w:rsidR="00AA4BB8">
        <w:rPr>
          <w:rFonts w:hint="cs"/>
          <w:rtl/>
        </w:rPr>
        <w:t>האלה</w:t>
      </w:r>
      <w:r w:rsidR="004C65D0" w:rsidRPr="004C65D0">
        <w:rPr>
          <w:rtl/>
        </w:rPr>
        <w:t xml:space="preserve"> בפרשתנו. פרשת הסוטה באה ללמדנו, שכל האידאה המגולמת בצורת המחנה, אינה רלוונטית ללא שמירת הקדושה בתא המשפחתי הבסיסי. לכן, מחמירה התורה בספק טומאה בין איש לבין אשתו – על ידי חידוש דיני סוטה.</w:t>
      </w:r>
      <w:r w:rsidR="004C65D0" w:rsidRPr="004C65D0">
        <w:rPr>
          <w:vertAlign w:val="superscript"/>
          <w:rtl/>
        </w:rPr>
        <w:footnoteReference w:id="3"/>
      </w:r>
    </w:p>
    <w:p w14:paraId="28507164" w14:textId="3B95FA0C" w:rsidR="004C65D0" w:rsidRPr="004C65D0" w:rsidRDefault="004C65D0" w:rsidP="00DB7495">
      <w:pPr>
        <w:rPr>
          <w:rtl/>
        </w:rPr>
      </w:pPr>
      <w:r w:rsidRPr="004C65D0">
        <w:rPr>
          <w:rtl/>
        </w:rPr>
        <w:t xml:space="preserve">דיני נזיר, מתקדמים צעד קדימה בכיוון זה – לא רק התא המשפחתי מהווה </w:t>
      </w:r>
      <w:r w:rsidR="00893853">
        <w:rPr>
          <w:rFonts w:hint="cs"/>
          <w:rtl/>
        </w:rPr>
        <w:t xml:space="preserve">רכיב </w:t>
      </w:r>
      <w:r w:rsidRPr="004C65D0">
        <w:rPr>
          <w:rtl/>
        </w:rPr>
        <w:t xml:space="preserve">יסודי והכרחי </w:t>
      </w:r>
      <w:r w:rsidR="00893853">
        <w:rPr>
          <w:rFonts w:hint="cs"/>
          <w:rtl/>
        </w:rPr>
        <w:t>ב</w:t>
      </w:r>
      <w:r w:rsidRPr="004C65D0">
        <w:rPr>
          <w:rtl/>
        </w:rPr>
        <w:t>קדושת המחנה, אלא גם האדם הבודד</w:t>
      </w:r>
      <w:r w:rsidR="00DB7495">
        <w:rPr>
          <w:rFonts w:hint="cs"/>
          <w:rtl/>
        </w:rPr>
        <w:t xml:space="preserve">; </w:t>
      </w:r>
      <w:r w:rsidRPr="004C65D0">
        <w:rPr>
          <w:rtl/>
        </w:rPr>
        <w:t xml:space="preserve">גם </w:t>
      </w:r>
      <w:r w:rsidR="00DB7495">
        <w:rPr>
          <w:rFonts w:hint="cs"/>
          <w:rtl/>
        </w:rPr>
        <w:t>הוא</w:t>
      </w:r>
      <w:r w:rsidRPr="004C65D0">
        <w:rPr>
          <w:rtl/>
        </w:rPr>
        <w:t xml:space="preserve"> יכול להתקדש, ולקבל עליו דיני נזירות. </w:t>
      </w:r>
    </w:p>
    <w:p w14:paraId="311AC619" w14:textId="03A67C2C" w:rsidR="004C65D0" w:rsidRPr="004C65D0" w:rsidRDefault="00DB7495" w:rsidP="00A30B21">
      <w:pPr>
        <w:rPr>
          <w:rtl/>
        </w:rPr>
      </w:pPr>
      <w:r>
        <w:rPr>
          <w:rFonts w:hint="cs"/>
          <w:rtl/>
        </w:rPr>
        <w:t xml:space="preserve">נרחיב מעט את הדיבור על מצוות הנזירות. </w:t>
      </w:r>
      <w:r w:rsidR="004C65D0" w:rsidRPr="004C65D0">
        <w:rPr>
          <w:rtl/>
        </w:rPr>
        <w:t>המשנה במסכת נזיר מביאה מחלוקת:</w:t>
      </w:r>
    </w:p>
    <w:p w14:paraId="6B2E6C78" w14:textId="7563CD2D" w:rsidR="004C65D0" w:rsidRPr="004C65D0" w:rsidRDefault="004C65D0" w:rsidP="00A30B21">
      <w:pPr>
        <w:pStyle w:val="a8"/>
        <w:rPr>
          <w:rtl/>
        </w:rPr>
      </w:pPr>
      <w:r w:rsidRPr="004C65D0">
        <w:rPr>
          <w:rtl/>
        </w:rPr>
        <w:t xml:space="preserve">כהן גדול ונזיר אין </w:t>
      </w:r>
      <w:proofErr w:type="spellStart"/>
      <w:r w:rsidRPr="004C65D0">
        <w:rPr>
          <w:rtl/>
        </w:rPr>
        <w:t>מיטמאין</w:t>
      </w:r>
      <w:proofErr w:type="spellEnd"/>
      <w:r w:rsidRPr="004C65D0">
        <w:rPr>
          <w:rtl/>
        </w:rPr>
        <w:t xml:space="preserve"> לקרוביהן, אבל </w:t>
      </w:r>
      <w:proofErr w:type="spellStart"/>
      <w:r w:rsidRPr="004C65D0">
        <w:rPr>
          <w:rtl/>
        </w:rPr>
        <w:t>מיטמאין</w:t>
      </w:r>
      <w:proofErr w:type="spellEnd"/>
      <w:r w:rsidRPr="004C65D0">
        <w:rPr>
          <w:rtl/>
        </w:rPr>
        <w:t xml:space="preserve"> למת מצוה. היו </w:t>
      </w:r>
      <w:proofErr w:type="spellStart"/>
      <w:r w:rsidRPr="004C65D0">
        <w:rPr>
          <w:rtl/>
        </w:rPr>
        <w:t>מהלכין</w:t>
      </w:r>
      <w:proofErr w:type="spellEnd"/>
      <w:r w:rsidRPr="004C65D0">
        <w:rPr>
          <w:rtl/>
        </w:rPr>
        <w:t xml:space="preserve"> בדרך ומצאו מת מצוה</w:t>
      </w:r>
      <w:r w:rsidR="001E0C38">
        <w:rPr>
          <w:rFonts w:hint="cs"/>
          <w:rtl/>
        </w:rPr>
        <w:t xml:space="preserve">: </w:t>
      </w:r>
      <w:r w:rsidRPr="004C65D0">
        <w:rPr>
          <w:rtl/>
        </w:rPr>
        <w:t>רבי אליעזר אומר: יטמא כהן גדול ואל יטמא נזיר,</w:t>
      </w:r>
      <w:r w:rsidRPr="004C65D0">
        <w:rPr>
          <w:rtl/>
        </w:rPr>
        <w:tab/>
      </w:r>
      <w:r w:rsidR="001E0C38">
        <w:rPr>
          <w:rFonts w:hint="cs"/>
          <w:rtl/>
        </w:rPr>
        <w:t xml:space="preserve"> </w:t>
      </w:r>
      <w:r w:rsidRPr="004C65D0">
        <w:rPr>
          <w:rtl/>
        </w:rPr>
        <w:t>וחכמים אומרים: יטמא נזיר ואל יטמא כהן הדיוט.</w:t>
      </w:r>
      <w:r w:rsidRPr="004C65D0">
        <w:rPr>
          <w:rtl/>
        </w:rPr>
        <w:tab/>
      </w:r>
      <w:r w:rsidR="001E0C38">
        <w:rPr>
          <w:rFonts w:hint="cs"/>
          <w:rtl/>
        </w:rPr>
        <w:t xml:space="preserve"> </w:t>
      </w:r>
      <w:r w:rsidRPr="004C65D0">
        <w:rPr>
          <w:rtl/>
        </w:rPr>
        <w:t>אמר להם רבי אליעזר: יטמא כהן שאינו מביא קרבן על טומאתו, ואל יטמא נזיר שהוא מביא קרבן על טומאתו!</w:t>
      </w:r>
      <w:r w:rsidR="001E0C38">
        <w:rPr>
          <w:rFonts w:hint="cs"/>
          <w:rtl/>
        </w:rPr>
        <w:t xml:space="preserve"> </w:t>
      </w:r>
      <w:r w:rsidRPr="004C65D0">
        <w:rPr>
          <w:rtl/>
        </w:rPr>
        <w:t>אמרו לו: יטמא נזיר שאין קדושתו קדושת עולם, ואל יטמא כהן שקדושתו קדושת עולם.</w:t>
      </w:r>
      <w:r w:rsidRPr="004C65D0">
        <w:rPr>
          <w:rtl/>
        </w:rPr>
        <w:tab/>
      </w:r>
      <w:r w:rsidR="00F56958">
        <w:rPr>
          <w:rFonts w:hint="cs"/>
          <w:rtl/>
        </w:rPr>
        <w:t xml:space="preserve"> </w:t>
      </w:r>
      <w:r w:rsidRPr="00A30B21">
        <w:rPr>
          <w:sz w:val="20"/>
          <w:szCs w:val="22"/>
          <w:rtl/>
        </w:rPr>
        <w:t xml:space="preserve">(נזיר </w:t>
      </w:r>
      <w:proofErr w:type="spellStart"/>
      <w:r w:rsidR="00A30B21" w:rsidRPr="00A30B21">
        <w:rPr>
          <w:rFonts w:hint="cs"/>
          <w:sz w:val="20"/>
          <w:szCs w:val="22"/>
          <w:rtl/>
        </w:rPr>
        <w:t>מז</w:t>
      </w:r>
      <w:proofErr w:type="spellEnd"/>
      <w:r w:rsidR="00A30B21" w:rsidRPr="00A30B21">
        <w:rPr>
          <w:rFonts w:hint="cs"/>
          <w:sz w:val="20"/>
          <w:szCs w:val="22"/>
          <w:rtl/>
        </w:rPr>
        <w:t>.</w:t>
      </w:r>
      <w:r w:rsidRPr="00A30B21">
        <w:rPr>
          <w:sz w:val="20"/>
          <w:szCs w:val="22"/>
          <w:rtl/>
        </w:rPr>
        <w:t>)</w:t>
      </w:r>
    </w:p>
    <w:p w14:paraId="6F042B0E" w14:textId="77777777" w:rsidR="004C65D0" w:rsidRPr="004C65D0" w:rsidRDefault="004C65D0" w:rsidP="00A30B21">
      <w:pPr>
        <w:rPr>
          <w:rtl/>
        </w:rPr>
      </w:pPr>
      <w:r w:rsidRPr="004C65D0">
        <w:rPr>
          <w:rtl/>
        </w:rPr>
        <w:t>כבר במשנה, ניתן להבחין שקיימת השוואה בין הכהן הגדול, לבין הנזיר – שניהם אסורים להיטמא לכל אדם, אפילו לשבעת הקרובים. הדבר מעורר את המשנה לברר מה יהיה הדין במקרה של מת מצווה אליו מותר להיטמא? ממי נעדיף לדרוש לעבור על מצוותו ולהיטמא – הכהן הגדול או הנזיר?</w:t>
      </w:r>
    </w:p>
    <w:p w14:paraId="0DF4B4D8" w14:textId="77777777" w:rsidR="004C65D0" w:rsidRPr="004C65D0" w:rsidRDefault="004C65D0" w:rsidP="00A30B21">
      <w:pPr>
        <w:rPr>
          <w:rtl/>
        </w:rPr>
      </w:pPr>
      <w:r w:rsidRPr="004C65D0">
        <w:rPr>
          <w:rtl/>
        </w:rPr>
        <w:t>הגמרא מעמידה את המחלוקת כך:</w:t>
      </w:r>
    </w:p>
    <w:p w14:paraId="7FCA8693" w14:textId="69247A99" w:rsidR="004C65D0" w:rsidRPr="004C65D0" w:rsidRDefault="004C65D0" w:rsidP="00A30B21">
      <w:pPr>
        <w:pStyle w:val="a8"/>
        <w:rPr>
          <w:rtl/>
        </w:rPr>
      </w:pPr>
      <w:r w:rsidRPr="004C65D0">
        <w:rPr>
          <w:rtl/>
        </w:rPr>
        <w:t>בשלמא כהן גדול ונזיר, האי סבר: כהן גדול עדיף, והאי סבר: נזיר עדיף</w:t>
      </w:r>
      <w:r w:rsidR="001E0C38">
        <w:rPr>
          <w:rFonts w:hint="cs"/>
          <w:rtl/>
        </w:rPr>
        <w:t>.</w:t>
      </w:r>
      <w:r w:rsidRPr="004C65D0">
        <w:rPr>
          <w:rtl/>
        </w:rPr>
        <w:t xml:space="preserve"> </w:t>
      </w:r>
      <w:r w:rsidRPr="00A30B21">
        <w:rPr>
          <w:sz w:val="20"/>
          <w:szCs w:val="22"/>
          <w:rtl/>
        </w:rPr>
        <w:t>(</w:t>
      </w:r>
      <w:r w:rsidR="00A30B21" w:rsidRPr="00A30B21">
        <w:rPr>
          <w:rFonts w:hint="cs"/>
          <w:sz w:val="20"/>
          <w:szCs w:val="22"/>
          <w:rtl/>
        </w:rPr>
        <w:t>שם</w:t>
      </w:r>
      <w:r w:rsidRPr="00A30B21">
        <w:rPr>
          <w:sz w:val="20"/>
          <w:szCs w:val="22"/>
          <w:rtl/>
        </w:rPr>
        <w:t>)</w:t>
      </w:r>
    </w:p>
    <w:p w14:paraId="1799B9E1" w14:textId="77777777" w:rsidR="004C65D0" w:rsidRPr="004C65D0" w:rsidRDefault="004C65D0" w:rsidP="00A30B21">
      <w:pPr>
        <w:rPr>
          <w:rtl/>
        </w:rPr>
      </w:pPr>
      <w:r w:rsidRPr="004C65D0">
        <w:rPr>
          <w:rtl/>
        </w:rPr>
        <w:t>לגמרא היה ברור שאין כאן רק שאלה טכנית. אמנם נחלקו התנאים מה יהיה הדין ההלכתי, אולם בעומק הדברים מצויה כאן מחלוקת בסיסית יותר: נחלקו התנאים מי קדוש יותר – הכהן הגדול או הנזיר? האם קדוש יותר הכהן הגדול שקדושתו מבטן, או הנזיר שקדושתו היא קדושת פה?</w:t>
      </w:r>
    </w:p>
    <w:p w14:paraId="7F7CA59B" w14:textId="72910582" w:rsidR="004C65D0" w:rsidRPr="004C65D0" w:rsidRDefault="004C65D0" w:rsidP="00A30B21">
      <w:pPr>
        <w:rPr>
          <w:rtl/>
        </w:rPr>
      </w:pPr>
      <w:r w:rsidRPr="004C65D0">
        <w:rPr>
          <w:rtl/>
        </w:rPr>
        <w:t>רבי אליעזר טוען שהנזיר קדוש מהכוהן הגדול</w:t>
      </w:r>
      <w:r w:rsidR="00B56A73">
        <w:rPr>
          <w:rFonts w:hint="cs"/>
          <w:rtl/>
        </w:rPr>
        <w:t>, וראייתו</w:t>
      </w:r>
      <w:r w:rsidRPr="004C65D0">
        <w:rPr>
          <w:rtl/>
        </w:rPr>
        <w:t xml:space="preserve"> מכך שהנזיר מביא קרבן על טומאתו. להבנתו של רבי אליעזר, הקורבן </w:t>
      </w:r>
      <w:r w:rsidR="003D3318">
        <w:rPr>
          <w:rFonts w:hint="cs"/>
          <w:rtl/>
        </w:rPr>
        <w:t>מעיד</w:t>
      </w:r>
      <w:r w:rsidR="00B56A73">
        <w:rPr>
          <w:rFonts w:hint="cs"/>
          <w:rtl/>
        </w:rPr>
        <w:t xml:space="preserve"> על</w:t>
      </w:r>
      <w:r w:rsidRPr="004C65D0">
        <w:rPr>
          <w:rtl/>
        </w:rPr>
        <w:t xml:space="preserve"> כך שהקדושה המתחללת אצל הנזיר גדולה מזו המתחללת אצל הכהן הגדול</w:t>
      </w:r>
      <w:r w:rsidR="00B56A73">
        <w:rPr>
          <w:rFonts w:hint="cs"/>
          <w:rtl/>
        </w:rPr>
        <w:t>, שהרי על חילול השניה אין צורך בהבאת קרבן.</w:t>
      </w:r>
      <w:r w:rsidRPr="004C65D0">
        <w:rPr>
          <w:rtl/>
        </w:rPr>
        <w:t xml:space="preserve"> לדעת חכמים, הכהן הגדול קדוש יותר, מכיוון שקדושתו קדושת עולם</w:t>
      </w:r>
      <w:r w:rsidR="00193388">
        <w:rPr>
          <w:rFonts w:hint="cs"/>
          <w:rtl/>
        </w:rPr>
        <w:t>;</w:t>
      </w:r>
      <w:r w:rsidRPr="004C65D0">
        <w:rPr>
          <w:rtl/>
        </w:rPr>
        <w:t xml:space="preserve"> מה שאין כן, בנזיר שקדושתו קדושת שעה. </w:t>
      </w:r>
      <w:r w:rsidR="00193388">
        <w:rPr>
          <w:rFonts w:hint="cs"/>
          <w:rtl/>
        </w:rPr>
        <w:t>הם לא מקבלים</w:t>
      </w:r>
      <w:r w:rsidRPr="004C65D0">
        <w:rPr>
          <w:rtl/>
        </w:rPr>
        <w:t xml:space="preserve"> את הוכחתו של רבי אליעזר מקרבן </w:t>
      </w:r>
      <w:r w:rsidR="00193388">
        <w:rPr>
          <w:rFonts w:hint="cs"/>
          <w:rtl/>
        </w:rPr>
        <w:t>ה</w:t>
      </w:r>
      <w:r w:rsidRPr="004C65D0">
        <w:rPr>
          <w:rtl/>
        </w:rPr>
        <w:t>טומא</w:t>
      </w:r>
      <w:r w:rsidR="00193388">
        <w:rPr>
          <w:rFonts w:hint="cs"/>
          <w:rtl/>
        </w:rPr>
        <w:t>ה</w:t>
      </w:r>
      <w:r w:rsidRPr="004C65D0">
        <w:rPr>
          <w:rtl/>
        </w:rPr>
        <w:t xml:space="preserve"> </w:t>
      </w:r>
      <w:r w:rsidR="00193388">
        <w:rPr>
          <w:rFonts w:hint="cs"/>
          <w:rtl/>
        </w:rPr>
        <w:t xml:space="preserve">של </w:t>
      </w:r>
      <w:r w:rsidRPr="004C65D0">
        <w:rPr>
          <w:rtl/>
        </w:rPr>
        <w:t>הנזיר</w:t>
      </w:r>
      <w:r w:rsidR="00193388">
        <w:rPr>
          <w:rFonts w:hint="cs"/>
          <w:rtl/>
        </w:rPr>
        <w:t>, ונדמה</w:t>
      </w:r>
      <w:r w:rsidRPr="004C65D0">
        <w:rPr>
          <w:rtl/>
        </w:rPr>
        <w:t xml:space="preserve"> שלהבנתם </w:t>
      </w:r>
      <w:r w:rsidR="00193388">
        <w:rPr>
          <w:rFonts w:hint="cs"/>
          <w:rtl/>
        </w:rPr>
        <w:t xml:space="preserve">קרבן זה מעיד דווקא על 'חולשת' הקדושה </w:t>
      </w:r>
      <w:r w:rsidR="00193388">
        <w:rPr>
          <w:rtl/>
        </w:rPr>
        <w:t>–</w:t>
      </w:r>
      <w:r w:rsidR="00193388">
        <w:rPr>
          <w:rFonts w:hint="cs"/>
          <w:rtl/>
        </w:rPr>
        <w:t xml:space="preserve"> </w:t>
      </w:r>
      <w:r w:rsidRPr="004C65D0">
        <w:rPr>
          <w:rtl/>
        </w:rPr>
        <w:t>הנזיר נהפך בן-רגע לקדוש משהיה</w:t>
      </w:r>
      <w:r w:rsidR="00193388">
        <w:rPr>
          <w:rFonts w:hint="cs"/>
          <w:rtl/>
        </w:rPr>
        <w:t>,</w:t>
      </w:r>
      <w:r w:rsidRPr="004C65D0">
        <w:rPr>
          <w:rtl/>
        </w:rPr>
        <w:t xml:space="preserve"> </w:t>
      </w:r>
      <w:r w:rsidR="001F32F1">
        <w:rPr>
          <w:rFonts w:hint="cs"/>
          <w:rtl/>
        </w:rPr>
        <w:t>ו</w:t>
      </w:r>
      <w:r w:rsidRPr="004C65D0">
        <w:rPr>
          <w:rtl/>
        </w:rPr>
        <w:t xml:space="preserve">אם </w:t>
      </w:r>
      <w:r w:rsidR="001F32F1">
        <w:rPr>
          <w:rFonts w:hint="cs"/>
          <w:rtl/>
        </w:rPr>
        <w:t xml:space="preserve">הוא </w:t>
      </w:r>
      <w:r w:rsidRPr="004C65D0">
        <w:rPr>
          <w:rtl/>
        </w:rPr>
        <w:t xml:space="preserve">נטמא, אזי מוכח מכאן שהוא ניסה להתקדש למעלה מכפי כוחו. כיוון שכך, מצריכה אותו התורה להביא קרבן </w:t>
      </w:r>
      <w:proofErr w:type="spellStart"/>
      <w:r w:rsidRPr="004C65D0">
        <w:rPr>
          <w:rtl/>
        </w:rPr>
        <w:t>לטהרתו</w:t>
      </w:r>
      <w:proofErr w:type="spellEnd"/>
      <w:r w:rsidRPr="004C65D0">
        <w:rPr>
          <w:rtl/>
        </w:rPr>
        <w:t>.</w:t>
      </w:r>
    </w:p>
    <w:p w14:paraId="6BEA2657" w14:textId="7599DE6C" w:rsidR="004C65D0" w:rsidRPr="004C65D0" w:rsidRDefault="004C65D0" w:rsidP="00A30B21">
      <w:pPr>
        <w:rPr>
          <w:rtl/>
        </w:rPr>
      </w:pPr>
      <w:r w:rsidRPr="004C65D0">
        <w:rPr>
          <w:rtl/>
        </w:rPr>
        <w:t xml:space="preserve">התוספות על </w:t>
      </w:r>
      <w:r w:rsidR="00D66B0B">
        <w:rPr>
          <w:rFonts w:hint="cs"/>
          <w:rtl/>
        </w:rPr>
        <w:t>אתר (</w:t>
      </w:r>
      <w:r w:rsidR="00D66B0B" w:rsidRPr="007C2CE1">
        <w:rPr>
          <w:rFonts w:hint="cs"/>
          <w:sz w:val="14"/>
          <w:szCs w:val="18"/>
          <w:rtl/>
        </w:rPr>
        <w:t xml:space="preserve">ד"ה </w:t>
      </w:r>
      <w:r w:rsidR="007C2CE1" w:rsidRPr="007C2CE1">
        <w:rPr>
          <w:rFonts w:hint="cs"/>
          <w:sz w:val="14"/>
          <w:szCs w:val="18"/>
          <w:rtl/>
        </w:rPr>
        <w:t>נזיר</w:t>
      </w:r>
      <w:r w:rsidR="00D66B0B" w:rsidRPr="007C2CE1">
        <w:rPr>
          <w:rFonts w:hint="cs"/>
          <w:sz w:val="14"/>
          <w:szCs w:val="18"/>
          <w:rtl/>
        </w:rPr>
        <w:t>)</w:t>
      </w:r>
      <w:r w:rsidRPr="007C2CE1">
        <w:rPr>
          <w:sz w:val="14"/>
          <w:szCs w:val="18"/>
          <w:rtl/>
        </w:rPr>
        <w:t xml:space="preserve"> </w:t>
      </w:r>
      <w:r w:rsidRPr="004C65D0">
        <w:rPr>
          <w:rtl/>
        </w:rPr>
        <w:t>מקשים מדוע נזירות היא בהכרח קדושת שעה? הרי יכול אדם לִדוֹר נזירות עולם</w:t>
      </w:r>
      <w:r w:rsidR="007C2CE1">
        <w:rPr>
          <w:rFonts w:hint="cs"/>
          <w:rtl/>
        </w:rPr>
        <w:t>!</w:t>
      </w:r>
      <w:r w:rsidRPr="004C65D0">
        <w:rPr>
          <w:rtl/>
        </w:rPr>
        <w:t xml:space="preserve"> הם מתרצים מה שמתרצים, אולם </w:t>
      </w:r>
      <w:r w:rsidR="000847A8">
        <w:rPr>
          <w:rFonts w:hint="cs"/>
          <w:rtl/>
        </w:rPr>
        <w:t>נבקש</w:t>
      </w:r>
      <w:r w:rsidRPr="004C65D0">
        <w:rPr>
          <w:rtl/>
        </w:rPr>
        <w:t xml:space="preserve"> לבאר </w:t>
      </w:r>
      <w:r w:rsidR="000847A8">
        <w:rPr>
          <w:rFonts w:hint="cs"/>
          <w:rtl/>
        </w:rPr>
        <w:t xml:space="preserve">את </w:t>
      </w:r>
      <w:r w:rsidRPr="004C65D0">
        <w:rPr>
          <w:rtl/>
        </w:rPr>
        <w:lastRenderedPageBreak/>
        <w:t>הדברים בדרך מעט שונה – נרצה לומר שנזירות היא בהגדרתה פעולה זמנית.</w:t>
      </w:r>
    </w:p>
    <w:p w14:paraId="10CDBB57" w14:textId="77777777" w:rsidR="004C65D0" w:rsidRPr="004C65D0" w:rsidRDefault="004C65D0" w:rsidP="00A30B21">
      <w:pPr>
        <w:rPr>
          <w:rtl/>
        </w:rPr>
      </w:pPr>
      <w:r w:rsidRPr="004C65D0">
        <w:rPr>
          <w:rtl/>
        </w:rPr>
        <w:t>חכמים נימקו את פרשיית הנזירות כך:</w:t>
      </w:r>
    </w:p>
    <w:p w14:paraId="3F98A317" w14:textId="38FCB89A" w:rsidR="004C65D0" w:rsidRPr="00A035F1" w:rsidRDefault="004C65D0" w:rsidP="00A30B21">
      <w:pPr>
        <w:pStyle w:val="a8"/>
        <w:rPr>
          <w:sz w:val="20"/>
          <w:szCs w:val="22"/>
          <w:rtl/>
        </w:rPr>
      </w:pPr>
      <w:r w:rsidRPr="004C65D0">
        <w:rPr>
          <w:rtl/>
        </w:rPr>
        <w:t xml:space="preserve">למה נסמכה פרשת נזיר לפרשת סוטה, לומר לך שכל הרואה סוטה בקלקולה </w:t>
      </w:r>
      <w:proofErr w:type="spellStart"/>
      <w:r w:rsidRPr="004C65D0">
        <w:rPr>
          <w:rtl/>
        </w:rPr>
        <w:t>יזיר</w:t>
      </w:r>
      <w:proofErr w:type="spellEnd"/>
      <w:r w:rsidRPr="004C65D0">
        <w:rPr>
          <w:rtl/>
        </w:rPr>
        <w:t xml:space="preserve"> עצמו מן היין, שהוא מביא לידי ניאוף: </w:t>
      </w:r>
      <w:r w:rsidRPr="00A035F1">
        <w:rPr>
          <w:sz w:val="20"/>
          <w:szCs w:val="22"/>
          <w:rtl/>
        </w:rPr>
        <w:t>(רש"י במדבר ו</w:t>
      </w:r>
      <w:r w:rsidR="00A035F1">
        <w:rPr>
          <w:rFonts w:hint="cs"/>
          <w:sz w:val="20"/>
          <w:szCs w:val="22"/>
          <w:rtl/>
        </w:rPr>
        <w:t>,</w:t>
      </w:r>
      <w:r w:rsidRPr="00A035F1">
        <w:rPr>
          <w:sz w:val="20"/>
          <w:szCs w:val="22"/>
          <w:rtl/>
        </w:rPr>
        <w:t xml:space="preserve"> ב ד"ה "כי </w:t>
      </w:r>
      <w:proofErr w:type="spellStart"/>
      <w:r w:rsidRPr="00A035F1">
        <w:rPr>
          <w:sz w:val="20"/>
          <w:szCs w:val="22"/>
          <w:rtl/>
        </w:rPr>
        <w:t>יפלא</w:t>
      </w:r>
      <w:proofErr w:type="spellEnd"/>
      <w:r w:rsidRPr="00A035F1">
        <w:rPr>
          <w:sz w:val="20"/>
          <w:szCs w:val="22"/>
          <w:rtl/>
        </w:rPr>
        <w:t>")</w:t>
      </w:r>
    </w:p>
    <w:p w14:paraId="5DB582D2" w14:textId="1F00C9DF" w:rsidR="004C65D0" w:rsidRPr="004C65D0" w:rsidRDefault="004C65D0" w:rsidP="00F8569D">
      <w:pPr>
        <w:rPr>
          <w:rtl/>
        </w:rPr>
      </w:pPr>
      <w:r w:rsidRPr="004C65D0">
        <w:rPr>
          <w:rtl/>
        </w:rPr>
        <w:t xml:space="preserve">בדרך כלל, האדם צריך להתנהל באופן ממוצע, בדומה לדברי הרמב"ם בהקדמתו למסכת אבות. יש שהאדם מגלה שהוא נוטה באחת מתכונותיו לעבר קיצוניות שאיננה בריאה. במקרה של המדרש, מדובר במי שמתוך שתיית יין מרובה, בא לידי פרצה בגדרי עריות – </w:t>
      </w:r>
      <w:r w:rsidRPr="00F8569D">
        <w:rPr>
          <w:rtl/>
        </w:rPr>
        <w:t>"הרואה סוטה".</w:t>
      </w:r>
      <w:r w:rsidRPr="004C65D0">
        <w:rPr>
          <w:rtl/>
        </w:rPr>
        <w:t xml:space="preserve"> </w:t>
      </w:r>
      <w:r w:rsidR="00F8569D">
        <w:rPr>
          <w:rFonts w:hint="cs"/>
          <w:rtl/>
        </w:rPr>
        <w:t>אמנם</w:t>
      </w:r>
      <w:r w:rsidRPr="004C65D0">
        <w:rPr>
          <w:rtl/>
        </w:rPr>
        <w:t xml:space="preserve"> אין כאן עבירה מוגדרת</w:t>
      </w:r>
      <w:r w:rsidR="00F8569D">
        <w:rPr>
          <w:rFonts w:hint="cs"/>
          <w:rtl/>
        </w:rPr>
        <w:t>,</w:t>
      </w:r>
      <w:r w:rsidRPr="004C65D0">
        <w:rPr>
          <w:rtl/>
        </w:rPr>
        <w:t xml:space="preserve"> </w:t>
      </w:r>
      <w:r w:rsidR="00F8569D">
        <w:rPr>
          <w:rFonts w:hint="cs"/>
          <w:rtl/>
        </w:rPr>
        <w:t>אך</w:t>
      </w:r>
      <w:r w:rsidRPr="004C65D0">
        <w:rPr>
          <w:rtl/>
        </w:rPr>
        <w:t xml:space="preserve"> כבר הרמב"ן אבחן שגם אם איסור מפורש אין כאן, בעיה אישיותית יש כאן:</w:t>
      </w:r>
    </w:p>
    <w:p w14:paraId="1768877C" w14:textId="36E6CB84" w:rsidR="004C65D0" w:rsidRPr="004C65D0" w:rsidRDefault="004C65D0" w:rsidP="00A30B21">
      <w:pPr>
        <w:pStyle w:val="a8"/>
        <w:rPr>
          <w:i/>
          <w:rtl/>
        </w:rPr>
      </w:pPr>
      <w:proofErr w:type="spellStart"/>
      <w:r w:rsidRPr="004C65D0">
        <w:rPr>
          <w:rtl/>
        </w:rPr>
        <w:t>והענין</w:t>
      </w:r>
      <w:proofErr w:type="spellEnd"/>
      <w:r w:rsidRPr="004C65D0">
        <w:rPr>
          <w:rtl/>
        </w:rPr>
        <w:t xml:space="preserve"> כי התורה ... התירה הביאה איש באשתו ואכילת הבשר והיין, א"כ ימצא בעל </w:t>
      </w:r>
      <w:proofErr w:type="spellStart"/>
      <w:r w:rsidRPr="004C65D0">
        <w:rPr>
          <w:rtl/>
        </w:rPr>
        <w:t>התאוה</w:t>
      </w:r>
      <w:proofErr w:type="spellEnd"/>
      <w:r w:rsidRPr="004C65D0">
        <w:rPr>
          <w:rtl/>
        </w:rPr>
        <w:t xml:space="preserve"> מקום להיות שטוף </w:t>
      </w:r>
      <w:proofErr w:type="spellStart"/>
      <w:r w:rsidRPr="004C65D0">
        <w:rPr>
          <w:rtl/>
        </w:rPr>
        <w:t>בזמת</w:t>
      </w:r>
      <w:proofErr w:type="spellEnd"/>
      <w:r w:rsidRPr="004C65D0">
        <w:rPr>
          <w:rtl/>
        </w:rPr>
        <w:t xml:space="preserve"> אשתו ... ולהיות בסובאי יין בזוללי בשר למו, וידבר כרצונו בכל הנבלות, שלא הוזכר איסור זה בתורה, והנה יהיה נבל ברשות התורה</w:t>
      </w:r>
      <w:r w:rsidRPr="004C65D0">
        <w:rPr>
          <w:i/>
          <w:rtl/>
        </w:rPr>
        <w:t xml:space="preserve">. </w:t>
      </w:r>
      <w:r w:rsidRPr="000771DF">
        <w:rPr>
          <w:i/>
          <w:sz w:val="20"/>
          <w:szCs w:val="22"/>
          <w:rtl/>
        </w:rPr>
        <w:t>(רמב"ן</w:t>
      </w:r>
      <w:r w:rsidR="000771DF" w:rsidRPr="000771DF">
        <w:rPr>
          <w:rFonts w:hint="cs"/>
          <w:i/>
          <w:sz w:val="20"/>
          <w:szCs w:val="22"/>
          <w:rtl/>
        </w:rPr>
        <w:t xml:space="preserve"> </w:t>
      </w:r>
      <w:r w:rsidR="00E92D4E">
        <w:rPr>
          <w:rFonts w:hint="cs"/>
          <w:i/>
          <w:sz w:val="20"/>
          <w:szCs w:val="22"/>
          <w:rtl/>
        </w:rPr>
        <w:t>ויקרא יט, ב</w:t>
      </w:r>
      <w:r w:rsidRPr="000771DF">
        <w:rPr>
          <w:i/>
          <w:sz w:val="20"/>
          <w:szCs w:val="22"/>
          <w:rtl/>
        </w:rPr>
        <w:t>)</w:t>
      </w:r>
    </w:p>
    <w:p w14:paraId="202267AE" w14:textId="6C45FAFD" w:rsidR="004C65D0" w:rsidRPr="004C65D0" w:rsidRDefault="004C65D0" w:rsidP="00A30B21">
      <w:pPr>
        <w:rPr>
          <w:rtl/>
        </w:rPr>
      </w:pPr>
      <w:r w:rsidRPr="004C65D0">
        <w:rPr>
          <w:rtl/>
        </w:rPr>
        <w:t>בכדי להינצל ממצבו זה, תופס האדם לתקופה את הקיצוניות השנייה. למשך תקופה מדמה עצמו האדם לכהנים, האסורים בשעת העבודה בשתיית יין</w:t>
      </w:r>
      <w:r w:rsidR="000339FF">
        <w:rPr>
          <w:rFonts w:hint="cs"/>
          <w:rtl/>
        </w:rPr>
        <w:t>;</w:t>
      </w:r>
      <w:r w:rsidRPr="004C65D0">
        <w:rPr>
          <w:rtl/>
        </w:rPr>
        <w:t xml:space="preserve"> אולם בניגוד לכהנים, אצל האדם הרגיל מדובר בפעולה מוגבלת בזמן</w:t>
      </w:r>
      <w:r w:rsidR="000339FF">
        <w:rPr>
          <w:rFonts w:hint="cs"/>
          <w:rtl/>
        </w:rPr>
        <w:t xml:space="preserve"> </w:t>
      </w:r>
      <w:r w:rsidR="000339FF">
        <w:rPr>
          <w:rtl/>
        </w:rPr>
        <w:t>–</w:t>
      </w:r>
      <w:r w:rsidRPr="004C65D0">
        <w:rPr>
          <w:rtl/>
        </w:rPr>
        <w:t xml:space="preserve"> מטרתה אינה </w:t>
      </w:r>
      <w:r w:rsidR="003A5F6F">
        <w:rPr>
          <w:rFonts w:hint="cs"/>
          <w:rtl/>
        </w:rPr>
        <w:t xml:space="preserve">לזכות לקדושה דומה </w:t>
      </w:r>
      <w:proofErr w:type="spellStart"/>
      <w:r w:rsidR="003A5F6F">
        <w:rPr>
          <w:rFonts w:hint="cs"/>
          <w:rtl/>
        </w:rPr>
        <w:t>לשלהם</w:t>
      </w:r>
      <w:proofErr w:type="spellEnd"/>
      <w:r w:rsidR="003A5F6F">
        <w:rPr>
          <w:rFonts w:hint="cs"/>
          <w:rtl/>
        </w:rPr>
        <w:t xml:space="preserve">, אלא </w:t>
      </w:r>
      <w:r w:rsidRPr="004C65D0">
        <w:rPr>
          <w:rtl/>
        </w:rPr>
        <w:t xml:space="preserve">איזון </w:t>
      </w:r>
      <w:r w:rsidR="003A5F6F">
        <w:rPr>
          <w:rFonts w:hint="cs"/>
          <w:rtl/>
        </w:rPr>
        <w:t>ותיקון מידותיו</w:t>
      </w:r>
      <w:r w:rsidRPr="004C65D0">
        <w:rPr>
          <w:rtl/>
        </w:rPr>
        <w:t xml:space="preserve"> הפנימיות של האדם.</w:t>
      </w:r>
    </w:p>
    <w:p w14:paraId="62F04A90" w14:textId="3A64DD15" w:rsidR="004C65D0" w:rsidRPr="004C65D0" w:rsidRDefault="004C65D0" w:rsidP="00A30B21">
      <w:pPr>
        <w:rPr>
          <w:rtl/>
        </w:rPr>
      </w:pPr>
      <w:r w:rsidRPr="004C65D0">
        <w:rPr>
          <w:rtl/>
        </w:rPr>
        <w:t xml:space="preserve">לכן, אנו פוסקים כחכמים – כהן גדול קדוש מנזיר. גם אם ייתכן שעל ידי ההינזרות עולה האדם </w:t>
      </w:r>
      <w:r w:rsidR="00CD792B">
        <w:rPr>
          <w:rFonts w:hint="cs"/>
          <w:rtl/>
        </w:rPr>
        <w:t xml:space="preserve">זמנית </w:t>
      </w:r>
      <w:r w:rsidRPr="004C65D0">
        <w:rPr>
          <w:rtl/>
        </w:rPr>
        <w:t>למדרגת כהן</w:t>
      </w:r>
      <w:r w:rsidR="00CD792B">
        <w:rPr>
          <w:rFonts w:hint="cs"/>
          <w:rtl/>
        </w:rPr>
        <w:t>,</w:t>
      </w:r>
      <w:r w:rsidRPr="004C65D0">
        <w:rPr>
          <w:rtl/>
        </w:rPr>
        <w:t xml:space="preserve"> אין בכך כלום</w:t>
      </w:r>
      <w:r w:rsidR="00CD792B">
        <w:rPr>
          <w:rFonts w:hint="cs"/>
          <w:rtl/>
        </w:rPr>
        <w:t>;</w:t>
      </w:r>
      <w:r w:rsidRPr="004C65D0">
        <w:rPr>
          <w:rtl/>
        </w:rPr>
        <w:t xml:space="preserve"> ש</w:t>
      </w:r>
      <w:r w:rsidR="00CD792B">
        <w:rPr>
          <w:rFonts w:hint="cs"/>
          <w:rtl/>
        </w:rPr>
        <w:t>הרי</w:t>
      </w:r>
      <w:r w:rsidRPr="004C65D0">
        <w:rPr>
          <w:rtl/>
        </w:rPr>
        <w:t xml:space="preserve"> סוף סוף אין התקדשות זו אלא לשעתה</w:t>
      </w:r>
      <w:r w:rsidR="0091209B">
        <w:rPr>
          <w:rFonts w:hint="cs"/>
          <w:rtl/>
        </w:rPr>
        <w:t>,</w:t>
      </w:r>
      <w:r w:rsidRPr="004C65D0">
        <w:rPr>
          <w:rtl/>
        </w:rPr>
        <w:t xml:space="preserve"> וודאי שהיא פחותה מקדושתו של </w:t>
      </w:r>
      <w:r w:rsidR="0091209B">
        <w:rPr>
          <w:rFonts w:hint="cs"/>
          <w:rtl/>
        </w:rPr>
        <w:t>כהן גדול</w:t>
      </w:r>
      <w:r w:rsidRPr="004C65D0">
        <w:rPr>
          <w:rtl/>
        </w:rPr>
        <w:t xml:space="preserve"> שהיא קדושת עולם.</w:t>
      </w:r>
    </w:p>
    <w:p w14:paraId="376953AD" w14:textId="7EA5E9C3" w:rsidR="004C65D0" w:rsidRPr="004C65D0" w:rsidRDefault="00674A4D" w:rsidP="00A30B21">
      <w:pPr>
        <w:rPr>
          <w:rtl/>
        </w:rPr>
      </w:pPr>
      <w:r>
        <w:rPr>
          <w:rFonts w:hint="cs"/>
          <w:rtl/>
        </w:rPr>
        <w:t xml:space="preserve">גם הופעתה של ברכת כהנים, לאחר סיום פרשיית הנזיר, </w:t>
      </w:r>
      <w:r w:rsidR="00731A7F">
        <w:rPr>
          <w:rFonts w:hint="cs"/>
          <w:rtl/>
        </w:rPr>
        <w:t xml:space="preserve">ממשיכה את אותו מהלך של ארגון עם ישראל מסביב למשכן ה'. </w:t>
      </w:r>
      <w:r w:rsidR="004C65D0" w:rsidRPr="004C65D0">
        <w:rPr>
          <w:rtl/>
        </w:rPr>
        <w:t>מפורסמים דברי הרמב"ם בסוף הלכות שמיטה</w:t>
      </w:r>
      <w:r w:rsidR="0091209B">
        <w:rPr>
          <w:rFonts w:hint="cs"/>
          <w:rtl/>
        </w:rPr>
        <w:t>,</w:t>
      </w:r>
      <w:r w:rsidR="004C65D0" w:rsidRPr="004C65D0">
        <w:rPr>
          <w:rtl/>
        </w:rPr>
        <w:t xml:space="preserve"> </w:t>
      </w:r>
      <w:r w:rsidR="0091209B">
        <w:rPr>
          <w:rFonts w:hint="cs"/>
          <w:rtl/>
        </w:rPr>
        <w:t>בבואו ל</w:t>
      </w:r>
      <w:r w:rsidR="004C65D0" w:rsidRPr="004C65D0">
        <w:rPr>
          <w:rtl/>
        </w:rPr>
        <w:t>באר מדוע נתקדש כל שבט לוי:</w:t>
      </w:r>
    </w:p>
    <w:p w14:paraId="5EBBD3C3" w14:textId="6C918788" w:rsidR="004C65D0" w:rsidRPr="004C65D0" w:rsidRDefault="004C65D0" w:rsidP="00A30B21">
      <w:pPr>
        <w:pStyle w:val="a8"/>
        <w:rPr>
          <w:rtl/>
        </w:rPr>
      </w:pPr>
      <w:r w:rsidRPr="004C65D0">
        <w:rPr>
          <w:rtl/>
        </w:rPr>
        <w:t xml:space="preserve">ולמה לא זכה לוי בנחלת ארץ ישראל ובביזתה עם אחיו מפני שהובדל לעבוד את </w:t>
      </w:r>
      <w:proofErr w:type="spellStart"/>
      <w:r w:rsidRPr="004C65D0">
        <w:rPr>
          <w:rtl/>
        </w:rPr>
        <w:t>י"י</w:t>
      </w:r>
      <w:proofErr w:type="spellEnd"/>
      <w:r w:rsidRPr="004C65D0">
        <w:rPr>
          <w:rtl/>
        </w:rPr>
        <w:t xml:space="preserve"> לשרתו ולהורות דרכיו הישרים ומשפטיו הצדיקים </w:t>
      </w:r>
      <w:r w:rsidRPr="004C65D0">
        <w:rPr>
          <w:rtl/>
        </w:rPr>
        <w:t xml:space="preserve">לרבים שנאמר יורו משפטיך ליעקב ותורתך לישראל, לפיכך הובדלו מדרכי העולם לא </w:t>
      </w:r>
      <w:proofErr w:type="spellStart"/>
      <w:r w:rsidRPr="004C65D0">
        <w:rPr>
          <w:rtl/>
        </w:rPr>
        <w:t>עורכין</w:t>
      </w:r>
      <w:proofErr w:type="spellEnd"/>
      <w:r w:rsidRPr="004C65D0">
        <w:rPr>
          <w:rtl/>
        </w:rPr>
        <w:t xml:space="preserve"> מלחמה כשאר ישראל ולא </w:t>
      </w:r>
      <w:proofErr w:type="spellStart"/>
      <w:r w:rsidRPr="004C65D0">
        <w:rPr>
          <w:rtl/>
        </w:rPr>
        <w:t>נוחלין</w:t>
      </w:r>
      <w:proofErr w:type="spellEnd"/>
      <w:r w:rsidRPr="004C65D0">
        <w:rPr>
          <w:rtl/>
        </w:rPr>
        <w:t xml:space="preserve"> ולא </w:t>
      </w:r>
      <w:proofErr w:type="spellStart"/>
      <w:r w:rsidRPr="004C65D0">
        <w:rPr>
          <w:rtl/>
        </w:rPr>
        <w:t>זוכין</w:t>
      </w:r>
      <w:proofErr w:type="spellEnd"/>
      <w:r w:rsidRPr="004C65D0">
        <w:rPr>
          <w:rtl/>
        </w:rPr>
        <w:t xml:space="preserve"> לעצמן </w:t>
      </w:r>
      <w:proofErr w:type="spellStart"/>
      <w:r w:rsidRPr="004C65D0">
        <w:rPr>
          <w:rtl/>
        </w:rPr>
        <w:t>בכח</w:t>
      </w:r>
      <w:proofErr w:type="spellEnd"/>
      <w:r w:rsidRPr="004C65D0">
        <w:rPr>
          <w:rtl/>
        </w:rPr>
        <w:t xml:space="preserve"> גופן, אלא הם חיל השם שנאמר ברך </w:t>
      </w:r>
      <w:proofErr w:type="spellStart"/>
      <w:r w:rsidRPr="004C65D0">
        <w:rPr>
          <w:rtl/>
        </w:rPr>
        <w:t>י"י</w:t>
      </w:r>
      <w:proofErr w:type="spellEnd"/>
      <w:r w:rsidRPr="004C65D0">
        <w:rPr>
          <w:rtl/>
        </w:rPr>
        <w:t xml:space="preserve"> חילו, והוא ברוך הוא זוכה להם שנאמר אני חלקך ונחלתך.</w:t>
      </w:r>
      <w:r w:rsidRPr="004C65D0">
        <w:rPr>
          <w:rtl/>
        </w:rPr>
        <w:tab/>
      </w:r>
      <w:r w:rsidR="00A30B21">
        <w:rPr>
          <w:rFonts w:hint="cs"/>
          <w:rtl/>
        </w:rPr>
        <w:t xml:space="preserve"> </w:t>
      </w:r>
      <w:r w:rsidRPr="00A30B21">
        <w:rPr>
          <w:szCs w:val="22"/>
          <w:rtl/>
        </w:rPr>
        <w:t>(שמיטה</w:t>
      </w:r>
      <w:r w:rsidR="00A30B21">
        <w:rPr>
          <w:rFonts w:hint="cs"/>
          <w:szCs w:val="22"/>
          <w:rtl/>
        </w:rPr>
        <w:t xml:space="preserve"> </w:t>
      </w:r>
      <w:r w:rsidRPr="00A30B21">
        <w:rPr>
          <w:szCs w:val="22"/>
          <w:rtl/>
        </w:rPr>
        <w:t>ויובל יג, יב)</w:t>
      </w:r>
    </w:p>
    <w:p w14:paraId="66B7B75B" w14:textId="54C00C20" w:rsidR="004C65D0" w:rsidRPr="004C65D0" w:rsidRDefault="004C65D0" w:rsidP="005A06AA">
      <w:pPr>
        <w:rPr>
          <w:rtl/>
        </w:rPr>
      </w:pPr>
      <w:r w:rsidRPr="004C65D0">
        <w:rPr>
          <w:rtl/>
        </w:rPr>
        <w:t>נראה שהדבר מתבסס על ההנחה לפיה כל קבוצה צריכה תת-קבוצה לשאת אליה עיניים</w:t>
      </w:r>
      <w:r w:rsidR="0091209B">
        <w:rPr>
          <w:rFonts w:hint="cs"/>
          <w:rtl/>
        </w:rPr>
        <w:t>,</w:t>
      </w:r>
      <w:r w:rsidRPr="004C65D0">
        <w:rPr>
          <w:rtl/>
        </w:rPr>
        <w:t xml:space="preserve"> קבוצת עלית שתפקידה לסמל לשאר כיצד עליהם לנהוג. במקרה של עם ישראל מדובר על הכהנים – </w:t>
      </w:r>
      <w:r w:rsidR="00E95952">
        <w:rPr>
          <w:rFonts w:hint="cs"/>
          <w:rtl/>
        </w:rPr>
        <w:t>"</w:t>
      </w:r>
      <w:r w:rsidR="00E95952" w:rsidRPr="00E95952">
        <w:rPr>
          <w:rtl/>
        </w:rPr>
        <w:t>כִּי שִׂפְתֵי כֹהֵן יִשְׁמְרוּ דַעַת וְתוֹרָה יְבַקְשׁוּ מִפִּיהוּ כִּי מַלְאַךְ ה' צְבָאוֹת הוּא</w:t>
      </w:r>
      <w:r w:rsidRPr="004C65D0">
        <w:rPr>
          <w:rtl/>
        </w:rPr>
        <w:t>"</w:t>
      </w:r>
      <w:r w:rsidR="00613B75">
        <w:rPr>
          <w:rFonts w:hint="cs"/>
          <w:rtl/>
        </w:rPr>
        <w:t xml:space="preserve"> </w:t>
      </w:r>
      <w:r w:rsidR="00613B75" w:rsidRPr="00613B75">
        <w:rPr>
          <w:rFonts w:hint="cs"/>
          <w:sz w:val="14"/>
          <w:szCs w:val="18"/>
          <w:rtl/>
        </w:rPr>
        <w:t>(מלאכי ב, ז)</w:t>
      </w:r>
      <w:r w:rsidR="00E95952">
        <w:rPr>
          <w:rFonts w:hint="cs"/>
          <w:rtl/>
        </w:rPr>
        <w:t>.</w:t>
      </w:r>
      <w:r w:rsidRPr="004C65D0">
        <w:rPr>
          <w:rtl/>
        </w:rPr>
        <w:t xml:space="preserve"> הכהנים אמורים להוות מצבה חיה לדבר ה', שתלמד את שאר העם כיצד עליו לנהוג</w:t>
      </w:r>
      <w:r w:rsidR="00731A7F">
        <w:rPr>
          <w:rFonts w:hint="cs"/>
          <w:rtl/>
        </w:rPr>
        <w:t xml:space="preserve">; והדבר בא לידי ביטוי מיוחד בברכת כהנים, </w:t>
      </w:r>
      <w:r w:rsidR="00CE4188">
        <w:rPr>
          <w:rFonts w:hint="cs"/>
          <w:rtl/>
        </w:rPr>
        <w:t>כאשר הם פונים כלפי העם</w:t>
      </w:r>
      <w:r w:rsidR="00097F21">
        <w:rPr>
          <w:rFonts w:hint="cs"/>
          <w:rtl/>
        </w:rPr>
        <w:t xml:space="preserve"> ומברכים אותו</w:t>
      </w:r>
      <w:r w:rsidR="00D11B09">
        <w:rPr>
          <w:rFonts w:hint="cs"/>
          <w:rtl/>
        </w:rPr>
        <w:t xml:space="preserve"> בשם ה'</w:t>
      </w:r>
      <w:r w:rsidRPr="004C65D0">
        <w:rPr>
          <w:rtl/>
        </w:rPr>
        <w:t>.</w:t>
      </w:r>
    </w:p>
    <w:p w14:paraId="3101FDE5" w14:textId="423F53AE" w:rsidR="004C65D0" w:rsidRPr="004C65D0" w:rsidRDefault="004C65D0" w:rsidP="005A06AA">
      <w:r w:rsidRPr="004C65D0">
        <w:rPr>
          <w:rtl/>
        </w:rPr>
        <w:t>הבנה זו היא העומדת בבסיס הופעת ברכת כהנים בפרשתנו</w:t>
      </w:r>
      <w:r w:rsidR="00D11B09">
        <w:rPr>
          <w:rFonts w:hint="cs"/>
          <w:rtl/>
        </w:rPr>
        <w:t xml:space="preserve">, כפי שמאריך לבאר ר' יצחק </w:t>
      </w:r>
      <w:proofErr w:type="spellStart"/>
      <w:r w:rsidR="00D11B09">
        <w:rPr>
          <w:rFonts w:hint="cs"/>
          <w:rtl/>
        </w:rPr>
        <w:t>עראמה</w:t>
      </w:r>
      <w:proofErr w:type="spellEnd"/>
      <w:r w:rsidR="008A6BD8">
        <w:rPr>
          <w:rFonts w:hint="cs"/>
          <w:rtl/>
        </w:rPr>
        <w:t xml:space="preserve"> בפירושו 'עקדת יצחק'. </w:t>
      </w:r>
      <w:r w:rsidRPr="004C65D0">
        <w:rPr>
          <w:rtl/>
        </w:rPr>
        <w:t>לדבריו</w:t>
      </w:r>
      <w:r w:rsidR="008A6BD8">
        <w:rPr>
          <w:rFonts w:hint="cs"/>
          <w:rtl/>
        </w:rPr>
        <w:t xml:space="preserve"> </w:t>
      </w:r>
      <w:r w:rsidR="008A6BD8" w:rsidRPr="00493D20">
        <w:rPr>
          <w:rFonts w:hint="cs"/>
          <w:sz w:val="14"/>
          <w:szCs w:val="18"/>
          <w:rtl/>
        </w:rPr>
        <w:t>(במדבר</w:t>
      </w:r>
      <w:r w:rsidR="00493D20" w:rsidRPr="00493D20">
        <w:rPr>
          <w:rFonts w:hint="cs"/>
          <w:sz w:val="14"/>
          <w:szCs w:val="18"/>
          <w:rtl/>
        </w:rPr>
        <w:t>,</w:t>
      </w:r>
      <w:r w:rsidR="008A6BD8" w:rsidRPr="00493D20">
        <w:rPr>
          <w:rFonts w:hint="cs"/>
          <w:sz w:val="14"/>
          <w:szCs w:val="18"/>
          <w:rtl/>
        </w:rPr>
        <w:t xml:space="preserve"> </w:t>
      </w:r>
      <w:r w:rsidR="00493D20" w:rsidRPr="00493D20">
        <w:rPr>
          <w:rFonts w:hint="cs"/>
          <w:sz w:val="14"/>
          <w:szCs w:val="18"/>
          <w:rtl/>
        </w:rPr>
        <w:t>שער עד</w:t>
      </w:r>
      <w:r w:rsidR="008A6BD8" w:rsidRPr="00493D20">
        <w:rPr>
          <w:rFonts w:hint="cs"/>
          <w:sz w:val="14"/>
          <w:szCs w:val="18"/>
          <w:rtl/>
        </w:rPr>
        <w:t>)</w:t>
      </w:r>
      <w:r w:rsidRPr="004C65D0">
        <w:rPr>
          <w:rtl/>
        </w:rPr>
        <w:t xml:space="preserve">, מטרתם של הכהנים בברכתם </w:t>
      </w:r>
      <w:r w:rsidR="00493D20">
        <w:rPr>
          <w:rFonts w:hint="cs"/>
          <w:rtl/>
        </w:rPr>
        <w:t>לסייע ב</w:t>
      </w:r>
      <w:r w:rsidRPr="004C65D0">
        <w:rPr>
          <w:rtl/>
        </w:rPr>
        <w:t>יד העם להבין מה מקור השפע בעולם. עליהם לעורר בלב העם "ציור"</w:t>
      </w:r>
      <w:r w:rsidRPr="004C65D0">
        <w:rPr>
          <w:vertAlign w:val="superscript"/>
          <w:rtl/>
        </w:rPr>
        <w:footnoteReference w:id="4"/>
      </w:r>
      <w:r w:rsidRPr="004C65D0">
        <w:rPr>
          <w:rtl/>
        </w:rPr>
        <w:t xml:space="preserve"> זה – כיצד הקב"ה הוא מקור החנינה, כיצד הוא נושא פנים לאדם וכן על זו הדרך.</w:t>
      </w:r>
    </w:p>
    <w:p w14:paraId="3475F9E2" w14:textId="5DE7AAAA" w:rsidR="004C65D0" w:rsidRPr="004C65D0" w:rsidRDefault="004C65D0" w:rsidP="005A06AA">
      <w:pPr>
        <w:rPr>
          <w:rFonts w:cs="FrankRuehl"/>
          <w:i/>
          <w:color w:val="262626" w:themeColor="text1" w:themeTint="D9"/>
          <w:rtl/>
        </w:rPr>
      </w:pPr>
      <w:r w:rsidRPr="004C65D0">
        <w:rPr>
          <w:rtl/>
        </w:rPr>
        <w:t xml:space="preserve">לפי הרמב"ם </w:t>
      </w:r>
      <w:r w:rsidR="004E6DA9">
        <w:rPr>
          <w:rFonts w:hint="cs"/>
          <w:rtl/>
        </w:rPr>
        <w:t>תפקיד זה</w:t>
      </w:r>
      <w:r w:rsidR="00D53701">
        <w:rPr>
          <w:rFonts w:hint="cs"/>
          <w:rtl/>
        </w:rPr>
        <w:t>, של הוראת דבר ה' לעם והקישור בינם לבין המשכן והשוכן בו,</w:t>
      </w:r>
      <w:r w:rsidR="004E6DA9">
        <w:rPr>
          <w:rFonts w:hint="cs"/>
          <w:rtl/>
        </w:rPr>
        <w:t xml:space="preserve"> אינו מיוחד לכהנים דווקא, אלא גם </w:t>
      </w:r>
      <w:r w:rsidR="00821702">
        <w:rPr>
          <w:rFonts w:hint="cs"/>
          <w:rtl/>
        </w:rPr>
        <w:t xml:space="preserve">במידה מסוימת </w:t>
      </w:r>
      <w:r w:rsidR="004E6DA9">
        <w:rPr>
          <w:rFonts w:hint="cs"/>
          <w:rtl/>
        </w:rPr>
        <w:t xml:space="preserve">כל </w:t>
      </w:r>
      <w:r w:rsidRPr="004C65D0">
        <w:rPr>
          <w:rtl/>
        </w:rPr>
        <w:t>שבט לוי –</w:t>
      </w:r>
      <w:r w:rsidR="00D55507">
        <w:rPr>
          <w:rFonts w:hint="cs"/>
          <w:rtl/>
        </w:rPr>
        <w:t xml:space="preserve">ובשלו </w:t>
      </w:r>
      <w:r w:rsidRPr="004C65D0">
        <w:rPr>
          <w:rtl/>
        </w:rPr>
        <w:t>הם נפטרים משאר חובות הקיום – לחימה, עבודה בשדות וכיוצא בזו.</w:t>
      </w:r>
      <w:r w:rsidRPr="004C65D0">
        <w:rPr>
          <w:rFonts w:cs="FrankRuehl"/>
          <w:i/>
          <w:color w:val="262626" w:themeColor="text1" w:themeTint="D9"/>
          <w:rtl/>
        </w:rPr>
        <w:t xml:space="preserve"> </w:t>
      </w:r>
      <w:r w:rsidRPr="004C65D0">
        <w:rPr>
          <w:rtl/>
        </w:rPr>
        <w:t>אלא שהרמב"ם גם מחדש דין מפתיע בהלכה האחרונה:</w:t>
      </w:r>
    </w:p>
    <w:p w14:paraId="2D0015B7" w14:textId="2700E892" w:rsidR="004C65D0" w:rsidRPr="004C65D0" w:rsidRDefault="004C65D0" w:rsidP="005A06AA">
      <w:pPr>
        <w:pStyle w:val="a8"/>
        <w:rPr>
          <w:rtl/>
        </w:rPr>
      </w:pPr>
      <w:r w:rsidRPr="004C65D0">
        <w:rPr>
          <w:rtl/>
        </w:rPr>
        <w:t xml:space="preserve">ולא שבט לוי בלבד אלא כל איש ואיש מכל באי העולם אשר נדבה רוחו אותו והבינו מדעו להבדל לעמוד לפני ה' לשרתו ולעובדו לדעה את ה' והלך ישר כמו </w:t>
      </w:r>
      <w:proofErr w:type="spellStart"/>
      <w:r w:rsidRPr="004C65D0">
        <w:rPr>
          <w:rtl/>
        </w:rPr>
        <w:t>שעשהו</w:t>
      </w:r>
      <w:proofErr w:type="spellEnd"/>
      <w:r w:rsidRPr="004C65D0">
        <w:rPr>
          <w:rtl/>
        </w:rPr>
        <w:t xml:space="preserve"> </w:t>
      </w:r>
      <w:proofErr w:type="spellStart"/>
      <w:r w:rsidRPr="004C65D0">
        <w:rPr>
          <w:rtl/>
        </w:rPr>
        <w:t>האלהים</w:t>
      </w:r>
      <w:proofErr w:type="spellEnd"/>
      <w:r w:rsidRPr="004C65D0">
        <w:rPr>
          <w:rtl/>
        </w:rPr>
        <w:t xml:space="preserve"> ופרק מעל </w:t>
      </w:r>
      <w:proofErr w:type="spellStart"/>
      <w:r w:rsidRPr="004C65D0">
        <w:rPr>
          <w:rtl/>
        </w:rPr>
        <w:t>צוארו</w:t>
      </w:r>
      <w:proofErr w:type="spellEnd"/>
      <w:r w:rsidRPr="004C65D0">
        <w:rPr>
          <w:rtl/>
        </w:rPr>
        <w:t xml:space="preserve"> עול החשבונות הרבים אשר בקשו בני האדם הרי זה נתקדש קדש קדשים ויהיה ה' חלקו ונחלתו לעולם ולעולמי עולמים ויזכה לו </w:t>
      </w:r>
      <w:proofErr w:type="spellStart"/>
      <w:r w:rsidRPr="004C65D0">
        <w:rPr>
          <w:rtl/>
        </w:rPr>
        <w:t>בעה"ז</w:t>
      </w:r>
      <w:proofErr w:type="spellEnd"/>
      <w:r w:rsidRPr="004C65D0">
        <w:rPr>
          <w:rtl/>
        </w:rPr>
        <w:t xml:space="preserve"> דבר המספיק לו כמו שזכה לכהנים ללוים, הרי דוד עליו השלום אומר ה' מנת חלקי וכוסי אתה </w:t>
      </w:r>
      <w:proofErr w:type="spellStart"/>
      <w:r w:rsidRPr="004C65D0">
        <w:rPr>
          <w:rtl/>
        </w:rPr>
        <w:t>תומיך</w:t>
      </w:r>
      <w:proofErr w:type="spellEnd"/>
      <w:r w:rsidRPr="004C65D0">
        <w:rPr>
          <w:rtl/>
        </w:rPr>
        <w:t xml:space="preserve"> גורלי.</w:t>
      </w:r>
      <w:r w:rsidR="00A035F1">
        <w:rPr>
          <w:rFonts w:hint="cs"/>
          <w:rtl/>
        </w:rPr>
        <w:t xml:space="preserve"> </w:t>
      </w:r>
      <w:r w:rsidR="00A035F1" w:rsidRPr="00A035F1">
        <w:rPr>
          <w:rFonts w:hint="cs"/>
          <w:sz w:val="20"/>
          <w:szCs w:val="22"/>
          <w:rtl/>
        </w:rPr>
        <w:t>(שם, יג)</w:t>
      </w:r>
    </w:p>
    <w:p w14:paraId="774DD350" w14:textId="053506F0" w:rsidR="004C65D0" w:rsidRPr="004C65D0" w:rsidRDefault="004C65D0" w:rsidP="005A06AA">
      <w:pPr>
        <w:rPr>
          <w:rtl/>
        </w:rPr>
      </w:pPr>
      <w:r w:rsidRPr="004C65D0">
        <w:rPr>
          <w:rtl/>
        </w:rPr>
        <w:t>הרמב"ם מחדש שלא רק שבט לוי יכול לקדש את חייו לקב"ה, על ידי הנחלת דברו לעם. לפי הרמב"ם כל אדם בפני עצמו יכול להחליט שהוא מקדיש את חייו לה'</w:t>
      </w:r>
      <w:r w:rsidR="00CE7035">
        <w:rPr>
          <w:rFonts w:hint="cs"/>
          <w:rtl/>
        </w:rPr>
        <w:t>,</w:t>
      </w:r>
      <w:r w:rsidRPr="004C65D0">
        <w:rPr>
          <w:rtl/>
        </w:rPr>
        <w:t xml:space="preserve"> על ידי התנתקות מלאה </w:t>
      </w:r>
      <w:proofErr w:type="spellStart"/>
      <w:r w:rsidRPr="004C65D0">
        <w:rPr>
          <w:rtl/>
        </w:rPr>
        <w:t>מחיי</w:t>
      </w:r>
      <w:proofErr w:type="spellEnd"/>
      <w:r w:rsidRPr="004C65D0">
        <w:rPr>
          <w:rtl/>
        </w:rPr>
        <w:t xml:space="preserve"> שעה, והתמקדות בחיי עולם. </w:t>
      </w:r>
      <w:r w:rsidR="00CE7035">
        <w:rPr>
          <w:rFonts w:hint="cs"/>
          <w:rtl/>
        </w:rPr>
        <w:lastRenderedPageBreak/>
        <w:t xml:space="preserve">כאן אנחנו חוזרים לדמותו של הנזיר שעסקנו בה קודם </w:t>
      </w:r>
      <w:r w:rsidR="00CE7035">
        <w:rPr>
          <w:rtl/>
        </w:rPr>
        <w:t>–</w:t>
      </w:r>
      <w:r w:rsidR="00CE7035">
        <w:rPr>
          <w:rFonts w:hint="cs"/>
          <w:rtl/>
        </w:rPr>
        <w:t xml:space="preserve"> </w:t>
      </w:r>
      <w:r w:rsidRPr="004C65D0">
        <w:rPr>
          <w:rtl/>
        </w:rPr>
        <w:t xml:space="preserve">לפי הרמב"ם, למרות שאנו פוסקים כחכמים, המקדיש את חייו לקב"ה </w:t>
      </w:r>
      <w:r w:rsidR="00CE7035">
        <w:rPr>
          <w:rFonts w:hint="cs"/>
          <w:rtl/>
        </w:rPr>
        <w:t>יכול להגיע למדרגה דומה לזו של הכהן הגדול, ולהיות שותף באותה משימה של</w:t>
      </w:r>
      <w:r w:rsidR="009E37F6">
        <w:rPr>
          <w:rFonts w:hint="cs"/>
          <w:rtl/>
        </w:rPr>
        <w:t xml:space="preserve"> שירות לפני ה'</w:t>
      </w:r>
      <w:r w:rsidRPr="004C65D0">
        <w:rPr>
          <w:rtl/>
        </w:rPr>
        <w:t>.</w:t>
      </w:r>
    </w:p>
    <w:p w14:paraId="7FB088FD" w14:textId="58FF1C23" w:rsidR="004C65D0" w:rsidRPr="004C65D0" w:rsidRDefault="004C65D0" w:rsidP="005A06AA">
      <w:pPr>
        <w:rPr>
          <w:rFonts w:cs="FrankRuehl"/>
          <w:i/>
          <w:color w:val="262626" w:themeColor="text1" w:themeTint="D9"/>
          <w:rtl/>
        </w:rPr>
      </w:pPr>
      <w:r w:rsidRPr="004C65D0">
        <w:rPr>
          <w:rtl/>
        </w:rPr>
        <w:t xml:space="preserve">אין ספק שתפיסה זו של הרמב"ם אינה מתאימה אלא ליחידי סגולה. אולם המקבל עליו נזירות עולם – לא באורכה, אלא במהותה – </w:t>
      </w:r>
      <w:r w:rsidR="004013D6">
        <w:rPr>
          <w:rFonts w:hint="cs"/>
          <w:rtl/>
        </w:rPr>
        <w:t xml:space="preserve">כלומר, </w:t>
      </w:r>
      <w:r w:rsidRPr="004C65D0">
        <w:rPr>
          <w:rtl/>
        </w:rPr>
        <w:t>המקדיש את כל כולו ומהותו לשם שמיים – רואה ברכה</w:t>
      </w:r>
      <w:r w:rsidR="009E37F6">
        <w:rPr>
          <w:rFonts w:hint="cs"/>
          <w:rtl/>
        </w:rPr>
        <w:t>, ומתקיימים בו דברי הכתוב</w:t>
      </w:r>
      <w:r w:rsidRPr="004C65D0">
        <w:rPr>
          <w:rtl/>
        </w:rPr>
        <w:t xml:space="preserve"> "</w:t>
      </w:r>
      <w:r w:rsidR="005D250A" w:rsidRPr="005D250A">
        <w:rPr>
          <w:rtl/>
        </w:rPr>
        <w:t>כֹּל יְמֵי נִזְרוֹ קָדֹשׁ הוּא לַה'</w:t>
      </w:r>
      <w:r w:rsidRPr="005D250A">
        <w:rPr>
          <w:rtl/>
        </w:rPr>
        <w:t>"</w:t>
      </w:r>
      <w:r w:rsidR="00D55507">
        <w:rPr>
          <w:rFonts w:hint="cs"/>
          <w:rtl/>
        </w:rPr>
        <w:t xml:space="preserve"> </w:t>
      </w:r>
      <w:r w:rsidR="00D55507" w:rsidRPr="00D55507">
        <w:rPr>
          <w:rFonts w:hint="cs"/>
          <w:sz w:val="14"/>
          <w:szCs w:val="18"/>
          <w:rtl/>
        </w:rPr>
        <w:t>(במדבר ו, ח)</w:t>
      </w:r>
      <w:r w:rsidR="005D250A">
        <w:rPr>
          <w:rFonts w:hint="cs"/>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01CD74C3"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5D1EBB">
              <w:rPr>
                <w:rFonts w:hint="cs"/>
                <w:noProof w:val="0"/>
                <w:rtl/>
              </w:rPr>
              <w:t>ברוך גיגי</w:t>
            </w:r>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8011" w14:textId="77777777" w:rsidR="00372AEE" w:rsidRDefault="00372AEE" w:rsidP="005F7985">
      <w:pPr>
        <w:spacing w:after="0" w:line="240" w:lineRule="auto"/>
      </w:pPr>
      <w:r>
        <w:separator/>
      </w:r>
    </w:p>
  </w:endnote>
  <w:endnote w:type="continuationSeparator" w:id="0">
    <w:p w14:paraId="3AB2FC1E" w14:textId="77777777" w:rsidR="00372AEE" w:rsidRDefault="00372AEE" w:rsidP="005F7985">
      <w:pPr>
        <w:spacing w:after="0" w:line="240" w:lineRule="auto"/>
      </w:pPr>
      <w:r>
        <w:continuationSeparator/>
      </w:r>
    </w:p>
  </w:endnote>
  <w:endnote w:type="continuationNotice" w:id="1">
    <w:p w14:paraId="3FFD9C1C" w14:textId="77777777" w:rsidR="00372AEE" w:rsidRDefault="00372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6C0D9" w14:textId="77777777" w:rsidR="00372AEE" w:rsidRDefault="00372AEE" w:rsidP="005F7985">
      <w:pPr>
        <w:spacing w:after="0" w:line="240" w:lineRule="auto"/>
      </w:pPr>
      <w:r>
        <w:separator/>
      </w:r>
    </w:p>
  </w:footnote>
  <w:footnote w:type="continuationSeparator" w:id="0">
    <w:p w14:paraId="00E86F90" w14:textId="77777777" w:rsidR="00372AEE" w:rsidRDefault="00372AEE" w:rsidP="005F7985">
      <w:pPr>
        <w:spacing w:after="0" w:line="240" w:lineRule="auto"/>
      </w:pPr>
      <w:r>
        <w:continuationSeparator/>
      </w:r>
    </w:p>
  </w:footnote>
  <w:footnote w:type="continuationNotice" w:id="1">
    <w:p w14:paraId="2EBD8781" w14:textId="77777777" w:rsidR="00372AEE" w:rsidRDefault="00372AEE">
      <w:pPr>
        <w:spacing w:after="0" w:line="240" w:lineRule="auto"/>
      </w:pPr>
    </w:p>
  </w:footnote>
  <w:footnote w:id="2">
    <w:p w14:paraId="588231B6" w14:textId="53A1F238" w:rsidR="00F41035" w:rsidRPr="00A73DEB" w:rsidRDefault="000754EF" w:rsidP="00F56958">
      <w:pPr>
        <w:pStyle w:val="FootnoteText"/>
        <w:spacing w:after="0" w:line="200" w:lineRule="exact"/>
        <w:ind w:left="0" w:firstLine="0"/>
      </w:pPr>
      <w:r w:rsidRPr="00A73DEB">
        <w:rPr>
          <w:rStyle w:val="FootnoteReference"/>
          <w:rtl/>
        </w:rPr>
        <w:t>*</w:t>
      </w:r>
      <w:r w:rsidRPr="00A73DEB">
        <w:rPr>
          <w:rtl/>
        </w:rPr>
        <w:t xml:space="preserve"> </w:t>
      </w:r>
      <w:r w:rsidR="00C43A0B" w:rsidRPr="00A73DEB">
        <w:rPr>
          <w:rtl/>
        </w:rPr>
        <w:t xml:space="preserve">השיחה ניתנה </w:t>
      </w:r>
      <w:r w:rsidR="008B04B7" w:rsidRPr="00A73DEB">
        <w:rPr>
          <w:rFonts w:hint="cs"/>
          <w:rtl/>
        </w:rPr>
        <w:t>ב</w:t>
      </w:r>
      <w:r w:rsidR="00A30B21">
        <w:rPr>
          <w:rFonts w:hint="cs"/>
          <w:rtl/>
        </w:rPr>
        <w:t xml:space="preserve">ליל </w:t>
      </w:r>
      <w:r w:rsidR="0041247B">
        <w:rPr>
          <w:rFonts w:hint="cs"/>
          <w:rtl/>
        </w:rPr>
        <w:t>שב</w:t>
      </w:r>
      <w:r w:rsidR="00E566FF">
        <w:rPr>
          <w:rFonts w:hint="cs"/>
          <w:rtl/>
        </w:rPr>
        <w:t>ת</w:t>
      </w:r>
      <w:r w:rsidR="0041247B">
        <w:rPr>
          <w:rFonts w:hint="cs"/>
          <w:rtl/>
        </w:rPr>
        <w:t xml:space="preserve"> קודש פרשת </w:t>
      </w:r>
      <w:r w:rsidR="00A30B21">
        <w:rPr>
          <w:rFonts w:hint="cs"/>
          <w:rtl/>
        </w:rPr>
        <w:t>נשא</w:t>
      </w:r>
      <w:r w:rsidR="002D08AF">
        <w:rPr>
          <w:rFonts w:hint="cs"/>
          <w:rtl/>
        </w:rPr>
        <w:t xml:space="preserve"> </w:t>
      </w:r>
      <w:r w:rsidR="0041247B">
        <w:rPr>
          <w:rFonts w:hint="cs"/>
          <w:rtl/>
        </w:rPr>
        <w:t>ה'תש</w:t>
      </w:r>
      <w:r w:rsidR="00A30B21">
        <w:rPr>
          <w:rFonts w:hint="cs"/>
          <w:rtl/>
        </w:rPr>
        <w:t>ע"ט,</w:t>
      </w:r>
      <w:r w:rsidR="00C43A0B" w:rsidRPr="00A73DEB">
        <w:rPr>
          <w:rtl/>
        </w:rPr>
        <w:t xml:space="preserve"> סוכמה על ידי </w:t>
      </w:r>
      <w:r w:rsidR="00A30B21">
        <w:rPr>
          <w:rFonts w:hint="cs"/>
          <w:rtl/>
        </w:rPr>
        <w:t xml:space="preserve">נדב </w:t>
      </w:r>
      <w:proofErr w:type="spellStart"/>
      <w:r w:rsidR="00A30B21">
        <w:rPr>
          <w:rFonts w:hint="cs"/>
          <w:rtl/>
        </w:rPr>
        <w:t>שולץ</w:t>
      </w:r>
      <w:proofErr w:type="spellEnd"/>
      <w:r w:rsidR="002D08AF">
        <w:rPr>
          <w:rFonts w:hint="cs"/>
          <w:rtl/>
        </w:rPr>
        <w:t xml:space="preserve"> </w:t>
      </w:r>
      <w:r w:rsidR="00C43A0B" w:rsidRPr="00A73DEB">
        <w:rPr>
          <w:rtl/>
        </w:rPr>
        <w:t xml:space="preserve">ונערכה על ידי </w:t>
      </w:r>
      <w:r w:rsidR="00A30B21">
        <w:rPr>
          <w:rFonts w:hint="cs"/>
          <w:rtl/>
        </w:rPr>
        <w:t>שמואל פוקס</w:t>
      </w:r>
      <w:r w:rsidR="00C43A0B" w:rsidRPr="00A73DEB">
        <w:rPr>
          <w:rtl/>
        </w:rPr>
        <w:t>. סיכום השיחה לא עבר את ביקורת הרב</w:t>
      </w:r>
      <w:r w:rsidR="00F41035" w:rsidRPr="00A73DEB">
        <w:rPr>
          <w:rFonts w:hint="cs"/>
          <w:rtl/>
        </w:rPr>
        <w:t>.</w:t>
      </w:r>
    </w:p>
  </w:footnote>
  <w:footnote w:id="3">
    <w:p w14:paraId="010245FF" w14:textId="44E8ECCE" w:rsidR="004C65D0" w:rsidRDefault="004C65D0" w:rsidP="00F56958">
      <w:pPr>
        <w:pStyle w:val="FootnoteText"/>
        <w:spacing w:after="0" w:line="200" w:lineRule="exact"/>
        <w:ind w:left="0" w:firstLine="0"/>
      </w:pPr>
      <w:r>
        <w:rPr>
          <w:rStyle w:val="FootnoteReference"/>
        </w:rPr>
        <w:footnoteRef/>
      </w:r>
      <w:r>
        <w:rPr>
          <w:rtl/>
        </w:rPr>
        <w:t xml:space="preserve"> </w:t>
      </w:r>
      <w:r w:rsidR="007B036F">
        <w:rPr>
          <w:rFonts w:hint="cs"/>
          <w:rtl/>
        </w:rPr>
        <w:t xml:space="preserve">דיני סוטה מלמדים שיש להחמיר בכל ספק טומאה ברה"י, עיין נזיר </w:t>
      </w:r>
      <w:proofErr w:type="spellStart"/>
      <w:r w:rsidR="007B036F">
        <w:rPr>
          <w:rFonts w:hint="cs"/>
          <w:rtl/>
        </w:rPr>
        <w:t>נז</w:t>
      </w:r>
      <w:proofErr w:type="spellEnd"/>
      <w:r w:rsidR="007B036F">
        <w:rPr>
          <w:rFonts w:hint="cs"/>
          <w:rtl/>
        </w:rPr>
        <w:t xml:space="preserve"> ע"א. </w:t>
      </w:r>
    </w:p>
  </w:footnote>
  <w:footnote w:id="4">
    <w:p w14:paraId="654FD17F" w14:textId="77777777" w:rsidR="004C65D0" w:rsidRDefault="004C65D0" w:rsidP="00F56958">
      <w:pPr>
        <w:pStyle w:val="FootnoteText"/>
        <w:spacing w:after="0" w:line="200" w:lineRule="exact"/>
        <w:ind w:left="0" w:firstLine="0"/>
      </w:pPr>
      <w:r>
        <w:rPr>
          <w:rStyle w:val="FootnoteReference"/>
        </w:rPr>
        <w:footnoteRef/>
      </w:r>
      <w:r>
        <w:rPr>
          <w:rtl/>
        </w:rPr>
        <w:t xml:space="preserve"> הבנה מופשטת.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99"/>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9FF"/>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1DF"/>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7A8"/>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97F21"/>
    <w:rsid w:val="000A02C9"/>
    <w:rsid w:val="000A0328"/>
    <w:rsid w:val="000A15E4"/>
    <w:rsid w:val="000A18C4"/>
    <w:rsid w:val="000A18FC"/>
    <w:rsid w:val="000A1C65"/>
    <w:rsid w:val="000A1F8F"/>
    <w:rsid w:val="000A26F9"/>
    <w:rsid w:val="000A2D29"/>
    <w:rsid w:val="000A327A"/>
    <w:rsid w:val="000A37EB"/>
    <w:rsid w:val="000A38CD"/>
    <w:rsid w:val="000A3B41"/>
    <w:rsid w:val="000A43B1"/>
    <w:rsid w:val="000A441E"/>
    <w:rsid w:val="000A4E15"/>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5CF"/>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388"/>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38"/>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32F1"/>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8C"/>
    <w:rsid w:val="003110EA"/>
    <w:rsid w:val="0031173D"/>
    <w:rsid w:val="0031183D"/>
    <w:rsid w:val="00312486"/>
    <w:rsid w:val="00312DCF"/>
    <w:rsid w:val="00313557"/>
    <w:rsid w:val="0031420C"/>
    <w:rsid w:val="00314A6C"/>
    <w:rsid w:val="00314F87"/>
    <w:rsid w:val="00315055"/>
    <w:rsid w:val="00315192"/>
    <w:rsid w:val="003161A4"/>
    <w:rsid w:val="00316BF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2AEE"/>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5F6F"/>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318"/>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1CE"/>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3D6"/>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3D20"/>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4F8C"/>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C65D0"/>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6DA9"/>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AA"/>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EBB"/>
    <w:rsid w:val="005D1F08"/>
    <w:rsid w:val="005D250A"/>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3B75"/>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308B"/>
    <w:rsid w:val="006634C8"/>
    <w:rsid w:val="00663D03"/>
    <w:rsid w:val="006648DE"/>
    <w:rsid w:val="0066548D"/>
    <w:rsid w:val="00666716"/>
    <w:rsid w:val="00670579"/>
    <w:rsid w:val="00670F7D"/>
    <w:rsid w:val="0067135C"/>
    <w:rsid w:val="00672701"/>
    <w:rsid w:val="00672B08"/>
    <w:rsid w:val="00673B51"/>
    <w:rsid w:val="00673F1F"/>
    <w:rsid w:val="00674A4D"/>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1A7F"/>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36F"/>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CE1"/>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702"/>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853"/>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6BD8"/>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9B"/>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7F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5F1"/>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0B21"/>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006"/>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4BB8"/>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3"/>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31C"/>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00CE"/>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D792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188"/>
    <w:rsid w:val="00CE4B49"/>
    <w:rsid w:val="00CE54B3"/>
    <w:rsid w:val="00CE5FA4"/>
    <w:rsid w:val="00CE62D4"/>
    <w:rsid w:val="00CE6A94"/>
    <w:rsid w:val="00CE7035"/>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75F"/>
    <w:rsid w:val="00D1085C"/>
    <w:rsid w:val="00D108BB"/>
    <w:rsid w:val="00D108C7"/>
    <w:rsid w:val="00D111C4"/>
    <w:rsid w:val="00D11ACF"/>
    <w:rsid w:val="00D11B09"/>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701"/>
    <w:rsid w:val="00D53BE1"/>
    <w:rsid w:val="00D53FF7"/>
    <w:rsid w:val="00D54348"/>
    <w:rsid w:val="00D543E3"/>
    <w:rsid w:val="00D55277"/>
    <w:rsid w:val="00D554F7"/>
    <w:rsid w:val="00D5550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0B"/>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A755B"/>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495"/>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D4E"/>
    <w:rsid w:val="00E92E06"/>
    <w:rsid w:val="00E938A2"/>
    <w:rsid w:val="00E93CD6"/>
    <w:rsid w:val="00E94612"/>
    <w:rsid w:val="00E94F27"/>
    <w:rsid w:val="00E9560F"/>
    <w:rsid w:val="00E95952"/>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657A"/>
    <w:rsid w:val="00F27480"/>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6958"/>
    <w:rsid w:val="00F57662"/>
    <w:rsid w:val="00F5784A"/>
    <w:rsid w:val="00F606FA"/>
    <w:rsid w:val="00F60ED8"/>
    <w:rsid w:val="00F60F3A"/>
    <w:rsid w:val="00F615C8"/>
    <w:rsid w:val="00F6242C"/>
    <w:rsid w:val="00F6247A"/>
    <w:rsid w:val="00F626D2"/>
    <w:rsid w:val="00F62771"/>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69D"/>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8</TotalTime>
  <Pages>3</Pages>
  <Words>1142</Words>
  <Characters>6515</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2024-06-10T18:24:00Z</dcterms:created>
  <dcterms:modified xsi:type="dcterms:W3CDTF">2024-06-10T18:24:00Z</dcterms:modified>
</cp:coreProperties>
</file>