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F6C09" w14:textId="77777777" w:rsidR="00B86E7E" w:rsidRPr="00AD1413" w:rsidRDefault="00B86E7E" w:rsidP="00B86E7E">
      <w:pPr>
        <w:pStyle w:val="1"/>
        <w:rPr>
          <w:rtl/>
        </w:rPr>
      </w:pPr>
      <w:r>
        <w:rPr>
          <w:rFonts w:hint="cs"/>
          <w:rtl/>
        </w:rPr>
        <w:t xml:space="preserve">מצווה קכ"ב – </w:t>
      </w:r>
      <w:r w:rsidRPr="00047AE9">
        <w:rPr>
          <w:rtl/>
        </w:rPr>
        <w:t>מצ</w:t>
      </w:r>
      <w:r>
        <w:rPr>
          <w:rFonts w:hint="cs"/>
          <w:rtl/>
        </w:rPr>
        <w:t>ו</w:t>
      </w:r>
      <w:r w:rsidRPr="00047AE9">
        <w:rPr>
          <w:rtl/>
        </w:rPr>
        <w:t xml:space="preserve">ות </w:t>
      </w:r>
      <w:r>
        <w:rPr>
          <w:rFonts w:hint="cs"/>
          <w:rtl/>
        </w:rPr>
        <w:t>עדו</w:t>
      </w:r>
      <w:r>
        <w:rPr>
          <w:rtl/>
        </w:rPr>
        <w:t>ת</w:t>
      </w:r>
    </w:p>
    <w:p w14:paraId="6EB07613" w14:textId="77777777" w:rsidR="00B86E7E" w:rsidRPr="005A1267" w:rsidRDefault="00B86E7E" w:rsidP="00B86E7E">
      <w:pPr>
        <w:pStyle w:val="2"/>
      </w:pPr>
      <w:r>
        <w:rPr>
          <w:rFonts w:hint="cs"/>
          <w:rtl/>
        </w:rPr>
        <w:t>מצוות עדות בממון ובנפשות</w:t>
      </w:r>
    </w:p>
    <w:p w14:paraId="02AEAAD2" w14:textId="77777777" w:rsidR="00B86E7E" w:rsidRDefault="00B86E7E" w:rsidP="00B86E7E">
      <w:pPr>
        <w:rPr>
          <w:rtl/>
          <w:lang w:eastAsia="he-IL"/>
        </w:rPr>
      </w:pPr>
      <w:r>
        <w:rPr>
          <w:rFonts w:hint="cs"/>
          <w:rtl/>
          <w:lang w:eastAsia="he-IL"/>
        </w:rPr>
        <w:t>בפרשת קורבן עולה ויורד, המקרה הראשון המחייב קורבן הוא זה של "שבועת העדות": "</w:t>
      </w:r>
      <w:r w:rsidRPr="00FF02E4">
        <w:rPr>
          <w:rtl/>
          <w:lang w:eastAsia="he-IL"/>
        </w:rPr>
        <w:t>וְנֶפֶשׁ כִּי תֶחֱטָא וְשָׁמְעָה קוֹל אָלָה וְהוּא עֵד אוֹ רָאָה אוֹ יָדָע אִם לוֹא יַגִּיד וְנָשָׂא עֲוֹנוֹ</w:t>
      </w:r>
      <w:r>
        <w:rPr>
          <w:rFonts w:hint="cs"/>
          <w:rtl/>
          <w:lang w:eastAsia="he-IL"/>
        </w:rPr>
        <w:t>" (ויקרא ה, א). אדם היודע עדות אך נמנע מלהעיד ונשבע לשקר שאינו יודע עדות, חייב קורבן, והגמרא (שבועות לב ע"א) מבהירה שמדובר דווקא באדם היודע עדות ממון שיכולה הייתה לסייע לחברו ואינו מעיד. ספר החינוך, בעקבות הרמב"ם בספר המצוות (עשה קע"ח), מונה מצוות עשה להעיד הנלמדת מפסוק זה ושייכת גם בלא שבועה. וכך הוא כותב:</w:t>
      </w:r>
    </w:p>
    <w:p w14:paraId="01DBEDC5" w14:textId="77777777" w:rsidR="00B86E7E" w:rsidRPr="00B86E7E" w:rsidRDefault="00B86E7E" w:rsidP="00B86E7E">
      <w:pPr>
        <w:ind w:left="720"/>
        <w:rPr>
          <w:sz w:val="22"/>
          <w:szCs w:val="22"/>
          <w:rtl/>
          <w:lang w:eastAsia="he-IL"/>
        </w:rPr>
      </w:pPr>
      <w:r w:rsidRPr="00B86E7E">
        <w:rPr>
          <w:rFonts w:hint="cs"/>
          <w:sz w:val="22"/>
          <w:szCs w:val="22"/>
          <w:rtl/>
          <w:lang w:eastAsia="he-IL"/>
        </w:rPr>
        <w:t>"</w:t>
      </w:r>
      <w:r w:rsidRPr="00B86E7E">
        <w:rPr>
          <w:sz w:val="22"/>
          <w:szCs w:val="22"/>
          <w:rtl/>
          <w:lang w:eastAsia="he-IL"/>
        </w:rPr>
        <w:t>מצות עדות –</w:t>
      </w:r>
      <w:r w:rsidRPr="00B86E7E">
        <w:rPr>
          <w:rFonts w:hint="cs"/>
          <w:sz w:val="22"/>
          <w:szCs w:val="22"/>
          <w:rtl/>
          <w:lang w:eastAsia="he-IL"/>
        </w:rPr>
        <w:t xml:space="preserve"> </w:t>
      </w:r>
      <w:r w:rsidRPr="00B86E7E">
        <w:rPr>
          <w:sz w:val="22"/>
          <w:szCs w:val="22"/>
          <w:rtl/>
          <w:lang w:eastAsia="he-IL"/>
        </w:rPr>
        <w:t>להגיד</w:t>
      </w:r>
      <w:r w:rsidRPr="00B86E7E">
        <w:rPr>
          <w:rFonts w:hint="cs"/>
          <w:sz w:val="22"/>
          <w:szCs w:val="22"/>
          <w:rtl/>
          <w:lang w:eastAsia="he-IL"/>
        </w:rPr>
        <w:t xml:space="preserve"> </w:t>
      </w:r>
      <w:r w:rsidRPr="00B86E7E">
        <w:rPr>
          <w:sz w:val="22"/>
          <w:szCs w:val="22"/>
          <w:rtl/>
          <w:lang w:eastAsia="he-IL"/>
        </w:rPr>
        <w:t xml:space="preserve">העדות בפני הדיינין בכל מה שנדעהו, בין שיתחייב בעדות מיתה או ממון המועד עליו, או שיהיה הצלתו בממונו או בנפשו, שנאמר </w:t>
      </w:r>
      <w:r w:rsidRPr="00B86E7E">
        <w:rPr>
          <w:rFonts w:hint="cs"/>
          <w:sz w:val="22"/>
          <w:szCs w:val="22"/>
          <w:rtl/>
          <w:lang w:eastAsia="he-IL"/>
        </w:rPr>
        <w:t>'</w:t>
      </w:r>
      <w:r w:rsidRPr="00B86E7E">
        <w:rPr>
          <w:sz w:val="22"/>
          <w:szCs w:val="22"/>
          <w:rtl/>
          <w:lang w:eastAsia="he-IL"/>
        </w:rPr>
        <w:t>והוא עד או ראה או ידע אם לא יגיד ונשא עונו</w:t>
      </w:r>
      <w:r w:rsidRPr="00B86E7E">
        <w:rPr>
          <w:rFonts w:hint="cs"/>
          <w:sz w:val="22"/>
          <w:szCs w:val="22"/>
          <w:rtl/>
          <w:lang w:eastAsia="he-IL"/>
        </w:rPr>
        <w:t>'</w:t>
      </w:r>
      <w:r w:rsidRPr="00B86E7E">
        <w:rPr>
          <w:sz w:val="22"/>
          <w:szCs w:val="22"/>
          <w:rtl/>
          <w:lang w:eastAsia="he-IL"/>
        </w:rPr>
        <w:t>, בכל ענין חובה עלינו להגיד העדות לפני הבית דין. ואולם חילוק יש בין דיני ממונות לדיני נפשות ושאר איסורין שבתורה, שבדיני ממונות אין אדם חייב להעיד עליהם מעצמו אלא אם כן יתבענו בעל הדבר או בית דין, ובדיני נפשות ובעדות שאר איסורין שבתורה כגון שראה אחד שעבר על איסור, וכן בעדות נפשות כגון שראה מי שהרג חבירו, או בעדות מכות שהכה האחד את חבירו, בכל זה חייב אדם לבוא מעצמו ולהגיד העדות לפני הבית דין</w:t>
      </w:r>
      <w:r w:rsidRPr="00B86E7E">
        <w:rPr>
          <w:rFonts w:hint="cs"/>
          <w:sz w:val="22"/>
          <w:szCs w:val="22"/>
          <w:rtl/>
          <w:lang w:eastAsia="he-IL"/>
        </w:rPr>
        <w:t>,</w:t>
      </w:r>
      <w:r w:rsidRPr="00B86E7E">
        <w:rPr>
          <w:sz w:val="22"/>
          <w:szCs w:val="22"/>
          <w:rtl/>
          <w:lang w:eastAsia="he-IL"/>
        </w:rPr>
        <w:t xml:space="preserve"> כדי לבער הרע ולהפריש בני אדם מאיסור</w:t>
      </w:r>
      <w:r w:rsidRPr="00B86E7E">
        <w:rPr>
          <w:rFonts w:hint="cs"/>
          <w:sz w:val="22"/>
          <w:szCs w:val="22"/>
          <w:rtl/>
          <w:lang w:eastAsia="he-IL"/>
        </w:rPr>
        <w:t xml:space="preserve">... </w:t>
      </w:r>
      <w:r w:rsidRPr="00B86E7E">
        <w:rPr>
          <w:sz w:val="22"/>
          <w:szCs w:val="22"/>
          <w:rtl/>
          <w:lang w:eastAsia="he-IL"/>
        </w:rPr>
        <w:t xml:space="preserve">והעובר עליה ולא העיד בדיני ממונות כשתבעוהו לעדות בעל דבר או בית דין, או בדיני נפשות ומכות ובאיסורין של תורה מעצמו, ביטל עשה וענשו גדול מאד, כי בכח העדות יתקיימו הישובים, על כן נכתב בו </w:t>
      </w:r>
      <w:r w:rsidRPr="00B86E7E">
        <w:rPr>
          <w:rFonts w:hint="cs"/>
          <w:sz w:val="22"/>
          <w:szCs w:val="22"/>
          <w:rtl/>
          <w:lang w:eastAsia="he-IL"/>
        </w:rPr>
        <w:t>'</w:t>
      </w:r>
      <w:r w:rsidRPr="00B86E7E">
        <w:rPr>
          <w:sz w:val="22"/>
          <w:szCs w:val="22"/>
          <w:rtl/>
          <w:lang w:eastAsia="he-IL"/>
        </w:rPr>
        <w:t>אם לא יגיד ונשא עונו</w:t>
      </w:r>
      <w:r w:rsidRPr="00B86E7E">
        <w:rPr>
          <w:rFonts w:hint="cs"/>
          <w:sz w:val="22"/>
          <w:szCs w:val="22"/>
          <w:rtl/>
          <w:lang w:eastAsia="he-IL"/>
        </w:rPr>
        <w:t>'</w:t>
      </w:r>
      <w:r w:rsidRPr="00B86E7E">
        <w:rPr>
          <w:sz w:val="22"/>
          <w:szCs w:val="22"/>
          <w:rtl/>
          <w:lang w:eastAsia="he-IL"/>
        </w:rPr>
        <w:t>. ואם תהיה העדות אשר כבש עדות ממון וכחש בה העד ונשבע עליה, כלומר שנשבע שאינו יודע לו עדות, חייב להביא קרבן עולה ויורד</w:t>
      </w:r>
      <w:r w:rsidRPr="00B86E7E">
        <w:rPr>
          <w:rFonts w:hint="cs"/>
          <w:sz w:val="22"/>
          <w:szCs w:val="22"/>
          <w:rtl/>
          <w:lang w:eastAsia="he-IL"/>
        </w:rPr>
        <w:t>".</w:t>
      </w:r>
    </w:p>
    <w:p w14:paraId="6D3D49E0" w14:textId="77777777" w:rsidR="00B86E7E" w:rsidRDefault="00B86E7E" w:rsidP="00B86E7E">
      <w:pPr>
        <w:rPr>
          <w:rtl/>
          <w:lang w:eastAsia="he-IL"/>
        </w:rPr>
      </w:pPr>
      <w:r>
        <w:rPr>
          <w:rFonts w:hint="cs"/>
          <w:rtl/>
          <w:lang w:eastAsia="he-IL"/>
        </w:rPr>
        <w:t>ספר החינוך מבאר שמצוות עדות שייכת הן בדיני ממונות הן בדיני נפשות, אלא שבדיני ממונות מדובר במצווה שבין אדם לחברו, המותנית בתביעת בעל הדבר מהעד שיעיד לטובתו, ואילו בדיני נפשות ובדיני איסורים העד מחויב לבוא מעצמו ולהעיד כדי לבער הרע ולהפריש מאיסורים (ונראה מדבריו שגם בעדות על אחד שהיכה את חברו יש מחויבות כלפי החברה לבוא ולהעיד על כך ולא רק כלפי הנחבל, כדי לעמוד על זכויותיו).</w:t>
      </w:r>
    </w:p>
    <w:p w14:paraId="634806C3" w14:textId="77777777" w:rsidR="00B86E7E" w:rsidRDefault="00B86E7E" w:rsidP="00B86E7E">
      <w:pPr>
        <w:rPr>
          <w:rtl/>
          <w:lang w:eastAsia="he-IL"/>
        </w:rPr>
      </w:pPr>
      <w:r>
        <w:rPr>
          <w:rFonts w:hint="cs"/>
          <w:rtl/>
          <w:lang w:eastAsia="he-IL"/>
        </w:rPr>
        <w:t>אומנם מדברי הרדב"ז נראה שהסיק מן הרמב"ם אחרת. הרמב"ם פותח את הלכות עדות באומרו ש"</w:t>
      </w:r>
      <w:r w:rsidRPr="00EA5E34">
        <w:rPr>
          <w:rtl/>
          <w:lang w:eastAsia="he-IL"/>
        </w:rPr>
        <w:t xml:space="preserve">העד מצווה </w:t>
      </w:r>
      <w:r w:rsidRPr="00EA5E34">
        <w:rPr>
          <w:rtl/>
          <w:lang w:eastAsia="he-IL"/>
        </w:rPr>
        <w:t xml:space="preserve">להעיד בבית דין בכל עדות שיודע, בין בעדות שיחייב בה את חבירו בין בעדות שיזכהו בו, </w:t>
      </w:r>
      <w:r w:rsidRPr="00EA5E34">
        <w:rPr>
          <w:b/>
          <w:bCs/>
          <w:rtl/>
          <w:lang w:eastAsia="he-IL"/>
        </w:rPr>
        <w:t>והוא שיתבענו להעיד בדיני ממונות</w:t>
      </w:r>
      <w:r w:rsidRPr="00EA5E34">
        <w:rPr>
          <w:rFonts w:hint="cs"/>
          <w:rtl/>
          <w:lang w:eastAsia="he-IL"/>
        </w:rPr>
        <w:t>"</w:t>
      </w:r>
      <w:r>
        <w:rPr>
          <w:rFonts w:hint="cs"/>
          <w:rtl/>
          <w:lang w:eastAsia="he-IL"/>
        </w:rPr>
        <w:t>, וכתב הרדב"ז: "</w:t>
      </w:r>
      <w:r w:rsidRPr="00EA5E34">
        <w:rPr>
          <w:rtl/>
          <w:lang w:eastAsia="he-IL"/>
        </w:rPr>
        <w:t>והוא שיתבענו להעיד וכו'. פרק שבועת העדות</w:t>
      </w:r>
      <w:r>
        <w:rPr>
          <w:rFonts w:hint="cs"/>
          <w:rtl/>
          <w:lang w:eastAsia="he-IL"/>
        </w:rPr>
        <w:t>...</w:t>
      </w:r>
      <w:r w:rsidRPr="00EA5E34">
        <w:rPr>
          <w:rtl/>
          <w:lang w:eastAsia="he-IL"/>
        </w:rPr>
        <w:t xml:space="preserve"> והתם נמי אמרינן דלא מיחייבי אלא בתביעת ממון</w:t>
      </w:r>
      <w:r>
        <w:rPr>
          <w:rFonts w:hint="cs"/>
          <w:rtl/>
          <w:lang w:eastAsia="he-IL"/>
        </w:rPr>
        <w:t>". מדברי הרדב"ז משמע שהבין שחובת העדות אינה אלא בדיני ממונות, ואף זאת רק כאשר העד נתבע להעיד. אולם הכסף משנה שם ביאר בדומה לספר החינוך, שבדיני ממונות קיים התנאי "שיתבענו להעיד", להבדיל מתחומים אחרים שבהם חובת העדות קיימת ואינה מותנית בכך, ונראה שעמדה זו נתמכת במשנה מפורשת בסנהדרין (לז ע"א–ע"ב), העוסקת בעדי נפשות, שיש לאיים עליהם בחומר עוונם אם יעידו חלילה עדות שקר ויחייבו אדם מיתה, אך מאידך גיסא יש להבהיר להם שאם מדובר באמת חובה עליהם להעיד: "</w:t>
      </w:r>
      <w:r w:rsidRPr="00127538">
        <w:rPr>
          <w:rtl/>
          <w:lang w:eastAsia="he-IL"/>
        </w:rPr>
        <w:t>ושמא תאמרו</w:t>
      </w:r>
      <w:r>
        <w:rPr>
          <w:rFonts w:hint="cs"/>
          <w:rtl/>
          <w:lang w:eastAsia="he-IL"/>
        </w:rPr>
        <w:t>:</w:t>
      </w:r>
      <w:r w:rsidRPr="00127538">
        <w:rPr>
          <w:rtl/>
          <w:lang w:eastAsia="he-IL"/>
        </w:rPr>
        <w:t xml:space="preserve"> מה לנו ולצרה הזאת</w:t>
      </w:r>
      <w:r>
        <w:rPr>
          <w:rFonts w:hint="cs"/>
          <w:rtl/>
          <w:lang w:eastAsia="he-IL"/>
        </w:rPr>
        <w:t>?</w:t>
      </w:r>
      <w:r w:rsidRPr="00127538">
        <w:rPr>
          <w:rtl/>
          <w:lang w:eastAsia="he-IL"/>
        </w:rPr>
        <w:t xml:space="preserve"> והלא כבר נאמר </w:t>
      </w:r>
      <w:r>
        <w:rPr>
          <w:rFonts w:hint="cs"/>
          <w:rtl/>
          <w:lang w:eastAsia="he-IL"/>
        </w:rPr>
        <w:t>'</w:t>
      </w:r>
      <w:r w:rsidRPr="00127538">
        <w:rPr>
          <w:rtl/>
          <w:lang w:eastAsia="he-IL"/>
        </w:rPr>
        <w:t>והוא ע</w:t>
      </w:r>
      <w:r>
        <w:rPr>
          <w:rtl/>
          <w:lang w:eastAsia="he-IL"/>
        </w:rPr>
        <w:t>ד או ראה או ידע אם לא יגיד וגו</w:t>
      </w:r>
      <w:r>
        <w:rPr>
          <w:rFonts w:hint="cs"/>
          <w:rtl/>
          <w:lang w:eastAsia="he-IL"/>
        </w:rPr>
        <w:t>'". מסתבר אפוא כאמור שחובת העדות קיימת בשני התחומים אף אם באופי שונה. נעיר כי ספר החינוך מחדש שאין הכרח בתביעת בעל הדבר ואף בית הדין יכול לתבוע מהעד להעיד, ובכך מקרב גם את העדות בדיני ממונות לגילוי של כעין 'אזרחות טובה', אלא שהיא מותנית בכך שהעד יידרש לעשות כן בידי גורם חיצוני. אולם המנחת חינוך (ס"ק ה) תמה על כך, שהרי כל עניינה של דרישת התביעה הוא מחויבותו של העד להעיד לטובת פלוני מסוים הדורש ממנו כן, ותביעת בית הדין אינה ממלאת תפקיד זה. המהדיר על ספר החינוך בהוצאת מכון ירושלים (הערה ד') ציין שיש דפוסים שבהם לא נכתב "בית דין" אלא "בעל דין", וגרסה זו פשוטה יותר להבנה (אם כי הכפילות "בעל הדבר או בעל דין"</w:t>
      </w:r>
      <w:r w:rsidRPr="00D24D02">
        <w:rPr>
          <w:rFonts w:hint="cs"/>
          <w:rtl/>
          <w:lang w:eastAsia="he-IL"/>
        </w:rPr>
        <w:t xml:space="preserve"> </w:t>
      </w:r>
      <w:r>
        <w:rPr>
          <w:rFonts w:hint="cs"/>
          <w:rtl/>
          <w:lang w:eastAsia="he-IL"/>
        </w:rPr>
        <w:t>אינה מובנת), ולא נאריך בכך עוד.</w:t>
      </w:r>
    </w:p>
    <w:p w14:paraId="5D384ADE" w14:textId="77777777" w:rsidR="00B86E7E" w:rsidRDefault="00B86E7E" w:rsidP="00B86E7E">
      <w:pPr>
        <w:rPr>
          <w:rtl/>
          <w:lang w:eastAsia="he-IL"/>
        </w:rPr>
      </w:pPr>
      <w:r>
        <w:rPr>
          <w:rFonts w:hint="cs"/>
          <w:rtl/>
          <w:lang w:eastAsia="he-IL"/>
        </w:rPr>
        <w:t>לגופה של דרישת התביעה, המנחת חינוך (ס"ק ג) תמה על קביעת הרמב"ם וספר החינוך שמצוות העדות בדיני ממונות מותנית בכך. אומנם הכסף משנה הביא מקור נאמן מפרק שבועת העדות (שבועות לא ע"ב) לכך שאין חיוב קורבן מבלי שבעל הדין יתבע את העד להעיד, אך מצוות העדות הלוא רחבה בהיקפה מקורבן שבועת העדות, שהרי היא חלה גם ללא שבועה ומן הסתם גם על דברים שהופקעו משבועת העדות, כגון עבדים, שטרות, קרקעות וקנסות.</w:t>
      </w:r>
    </w:p>
    <w:p w14:paraId="539D134B" w14:textId="77777777" w:rsidR="00B86E7E" w:rsidRDefault="00B86E7E" w:rsidP="00B86E7E">
      <w:pPr>
        <w:rPr>
          <w:rtl/>
          <w:lang w:eastAsia="he-IL"/>
        </w:rPr>
      </w:pPr>
      <w:r>
        <w:rPr>
          <w:rFonts w:hint="cs"/>
          <w:rtl/>
          <w:lang w:eastAsia="he-IL"/>
        </w:rPr>
        <w:t>כדי לברר נקודה זו פונה המנחת חינוך לשאלה כיצד בכלל אפשר ללמוד את מצוות העדות אף ללא שבועה מהפסוק המחייב קורבן רק אדם שנשבע לשקר שאינו יודע עדות. שאלה זו נשאלה כבר בתוספות בבבא קמא (נו ע"א), בעקבות הגמרא שהעלתה שפשיטא ששני עדים היודעים עדות לחברם ואינם מעידים לו חייבים בדיני שמים, שהרי "</w:t>
      </w:r>
      <w:r w:rsidRPr="00A5529F">
        <w:rPr>
          <w:rtl/>
          <w:lang w:eastAsia="he-IL"/>
        </w:rPr>
        <w:t xml:space="preserve">דאורייתא הוא, </w:t>
      </w:r>
      <w:r>
        <w:rPr>
          <w:rFonts w:hint="cs"/>
          <w:rtl/>
          <w:lang w:eastAsia="he-IL"/>
        </w:rPr>
        <w:t>'</w:t>
      </w:r>
      <w:r w:rsidRPr="00A5529F">
        <w:rPr>
          <w:rtl/>
          <w:lang w:eastAsia="he-IL"/>
        </w:rPr>
        <w:t>אם לא יגיד ונשא עונו</w:t>
      </w:r>
      <w:r>
        <w:rPr>
          <w:rFonts w:hint="cs"/>
          <w:rtl/>
          <w:lang w:eastAsia="he-IL"/>
        </w:rPr>
        <w:t xml:space="preserve">'". התוספות (ד"ה פשיטא) התקשו בכך, שהרי בפסוק המדובר נאמר "ושמעה קול אלה", והשיבו: </w:t>
      </w:r>
      <w:r>
        <w:rPr>
          <w:rFonts w:hint="cs"/>
          <w:rtl/>
          <w:lang w:eastAsia="he-IL"/>
        </w:rPr>
        <w:lastRenderedPageBreak/>
        <w:t>"</w:t>
      </w:r>
      <w:r w:rsidRPr="00A5529F">
        <w:rPr>
          <w:rtl/>
          <w:lang w:eastAsia="he-IL"/>
        </w:rPr>
        <w:t>דה</w:t>
      </w:r>
      <w:r>
        <w:rPr>
          <w:rFonts w:hint="cs"/>
          <w:rtl/>
          <w:lang w:eastAsia="he-IL"/>
        </w:rPr>
        <w:t>כי קאמר</w:t>
      </w:r>
      <w:r w:rsidRPr="00A5529F">
        <w:rPr>
          <w:rtl/>
          <w:lang w:eastAsia="he-IL"/>
        </w:rPr>
        <w:t xml:space="preserve"> קרא</w:t>
      </w:r>
      <w:r>
        <w:rPr>
          <w:rFonts w:hint="cs"/>
          <w:rtl/>
          <w:lang w:eastAsia="he-IL"/>
        </w:rPr>
        <w:t>,</w:t>
      </w:r>
      <w:r w:rsidRPr="00A5529F">
        <w:rPr>
          <w:rtl/>
          <w:lang w:eastAsia="he-IL"/>
        </w:rPr>
        <w:t xml:space="preserve"> כשעובר בדבר שאם לא יגיד היה נושא עון</w:t>
      </w:r>
      <w:r>
        <w:rPr>
          <w:rFonts w:hint="cs"/>
          <w:rtl/>
          <w:lang w:eastAsia="he-IL"/>
        </w:rPr>
        <w:t>,</w:t>
      </w:r>
      <w:r w:rsidRPr="00A5529F">
        <w:rPr>
          <w:rtl/>
          <w:lang w:eastAsia="he-IL"/>
        </w:rPr>
        <w:t xml:space="preserve"> אז יביא קרבן שבועה</w:t>
      </w:r>
      <w:r>
        <w:rPr>
          <w:rFonts w:hint="cs"/>
          <w:rtl/>
          <w:lang w:eastAsia="he-IL"/>
        </w:rPr>
        <w:t>,</w:t>
      </w:r>
      <w:r w:rsidRPr="00A5529F">
        <w:rPr>
          <w:rtl/>
          <w:lang w:eastAsia="he-IL"/>
        </w:rPr>
        <w:t xml:space="preserve"> אבל בלא שבועה נמי איכא נשיאות</w:t>
      </w:r>
      <w:r>
        <w:rPr>
          <w:rFonts w:hint="cs"/>
          <w:rtl/>
          <w:lang w:eastAsia="he-IL"/>
        </w:rPr>
        <w:t xml:space="preserve"> עון". לדבריהם, נשיאות העוון היא בשל עצם ביטול חובת העדות, וכשמצטרפת לכך שבועה האדם מתחייב קורבן. הרשב"א שם הקשה כיצד היה כה ברור לחז"ל שכך יש לקרוא את הפסוק, והציע שמדובר בסברה: </w:t>
      </w:r>
      <w:r w:rsidRPr="0053057C">
        <w:rPr>
          <w:rtl/>
          <w:lang w:eastAsia="he-IL"/>
        </w:rPr>
        <w:t>השבועה המחייבת קורבן שבועת העדות היא מרכיב חלש יחסית, שכן מדובר במקרה של "מושבע מפי אחר", שבמסגרתו העד מושבע מפי בעל הדין התובע ממנו להעיד ואינו אומר את השבועה בעצמו, ועל כן סביר להניח שהשבועה אינה תשתית החיוב אלא תוספת נדרשת לגרעין המחייב, שהוא עצם החובה להעיד</w:t>
      </w:r>
      <w:r>
        <w:rPr>
          <w:rFonts w:hint="cs"/>
          <w:rtl/>
          <w:lang w:eastAsia="he-IL"/>
        </w:rPr>
        <w:t>. לענייננו, המנחת חינוך מבאר שהמילים "</w:t>
      </w:r>
      <w:r w:rsidRPr="00FF02E4">
        <w:rPr>
          <w:rtl/>
          <w:lang w:eastAsia="he-IL"/>
        </w:rPr>
        <w:t>וְהוּא עֵד אוֹ רָאָה אוֹ יָדָע אִם לוֹא יַגִּיד וְנָשָׂא עֲוֹנוֹ</w:t>
      </w:r>
      <w:r>
        <w:rPr>
          <w:rFonts w:hint="cs"/>
          <w:rtl/>
          <w:lang w:eastAsia="he-IL"/>
        </w:rPr>
        <w:t xml:space="preserve">" מתפרשות כעוסקות במצווה להעיד ובנשיאות עוון של הכובש עדותו, וזאת גם ללא שבועה, ובהן נאמר "אם </w:t>
      </w:r>
      <w:r w:rsidRPr="00B40F70">
        <w:rPr>
          <w:rFonts w:hint="cs"/>
          <w:b/>
          <w:bCs/>
          <w:rtl/>
          <w:lang w:eastAsia="he-IL"/>
        </w:rPr>
        <w:t>לוא</w:t>
      </w:r>
      <w:r>
        <w:rPr>
          <w:rFonts w:hint="cs"/>
          <w:rtl/>
          <w:lang w:eastAsia="he-IL"/>
        </w:rPr>
        <w:t xml:space="preserve"> יגיד", כאשר מהכתיב "לוא" דורשים "אם לא לו יגיד", דהיינו סירוב להעיד חרף תביעה מבעל הדבר להעיד, ומכאן שתנאי זה מתייחס לעצם מצוות העדות. זאת להבדיל מהפקעות אחרות מחיוב קורבן, כגון קרקעות, שנלמדו מדרשה אחרת, שאינה מצמצמת את עצם החובה להעיד. אומנם, כפי שראינו, המצווה להעיד כוללת בתוכה גם עדויות שאינן לטובת בעל דין מוגדר, וביחס לעדויות אלו היא חלה אף ללא תביעה, ועל כורחנו ששני דינים נפרדים נלמדו מפסוק זה.</w:t>
      </w:r>
    </w:p>
    <w:p w14:paraId="7D1ECBD7" w14:textId="77777777" w:rsidR="00B86E7E" w:rsidRDefault="00B86E7E" w:rsidP="00B86E7E">
      <w:pPr>
        <w:rPr>
          <w:rtl/>
          <w:lang w:eastAsia="he-IL"/>
        </w:rPr>
      </w:pPr>
    </w:p>
    <w:p w14:paraId="4BFA0C9F" w14:textId="77777777" w:rsidR="00B86E7E" w:rsidRDefault="00B86E7E" w:rsidP="00B86E7E">
      <w:pPr>
        <w:pStyle w:val="2"/>
        <w:rPr>
          <w:rtl/>
          <w:lang w:eastAsia="he-IL"/>
        </w:rPr>
      </w:pPr>
      <w:r>
        <w:rPr>
          <w:rFonts w:hint="cs"/>
          <w:rtl/>
          <w:lang w:eastAsia="he-IL"/>
        </w:rPr>
        <w:t>מצוות עדות בפסולי עדות שבעלי הדין קיבלו עליהם</w:t>
      </w:r>
    </w:p>
    <w:p w14:paraId="52C30A93" w14:textId="77777777" w:rsidR="00B86E7E" w:rsidRDefault="00B86E7E" w:rsidP="00B86E7E">
      <w:pPr>
        <w:rPr>
          <w:rtl/>
          <w:lang w:eastAsia="he-IL"/>
        </w:rPr>
      </w:pPr>
      <w:r>
        <w:rPr>
          <w:rFonts w:hint="cs"/>
          <w:rtl/>
          <w:lang w:eastAsia="he-IL"/>
        </w:rPr>
        <w:t>התורה קבעה מי כשר להעיד ומי פסול, אך בדיני ממונות בעלי הדין יכולים לקבל על עצמם בהסכמה את עדותם של פסולי עדות כעדות כשרה. האם במצב כזה חלה מצוות עדות על אותם פסולי עדות? המנחת חינוך (ס"ק ד) מביא את דברי קצות החושן (כח, ג), שהביא שיש דיינים שסברו שהיא חלה, ונהגו להזהיר עדים במצב כזה שהם מחויבים להעיד מדין "אם לא יגיד ונשא עוונו", אך הקצות דחה גישה זו, שכן בירושלמי מבואר שאין חיוב קורבן שבועת העדות בפסולים שבעלי הדין</w:t>
      </w:r>
      <w:r w:rsidRPr="00D70344">
        <w:rPr>
          <w:rFonts w:hint="cs"/>
          <w:rtl/>
          <w:lang w:eastAsia="he-IL"/>
        </w:rPr>
        <w:t xml:space="preserve"> </w:t>
      </w:r>
      <w:r>
        <w:rPr>
          <w:rFonts w:hint="cs"/>
          <w:rtl/>
          <w:lang w:eastAsia="he-IL"/>
        </w:rPr>
        <w:t xml:space="preserve">קיבלו עליהם. המנחת חינוך השיג על קצות החושן וטען שאין להסיק מכך שאין כאן חיוב קורבן שבועת העדות שאף מצוות עדות אין כאן, שכן ייתכן שמדובר בהפקעה נקודתית בדומה לקרקעות. מבלי להעמיק כעת בשאלה בעניין שבועת העדות, יש מקום לומר ששאלה זו תלויה בהבנת תוקפה של עדות </w:t>
      </w:r>
      <w:r>
        <w:rPr>
          <w:rFonts w:hint="cs"/>
          <w:rtl/>
          <w:lang w:eastAsia="he-IL"/>
        </w:rPr>
        <w:t>פסולים שבעלי הדין קיבלו עליהם. ייתכן שמצוות העדות אינה מתייחסת לכל סיוע שאדם יכול לתת לחברו להשיג את ממונו, אלא לעדות דווקא. באשר לעדים הפסולים, אפשר לומר שאין בכוחם של בעלי הדין להפוך את הכשרים לפסולים, אלא שהם יכולים להתחייב לשלם ממון או למחול על זכויות ממוניות על פי דבריהם של אנשים אלו, ומכיוון שמדובר בהתחייבות ממונית שאינה מבוססת על עדות הלכתית, לא שייכת כאן מצוות "אם לא יגיד"</w:t>
      </w:r>
      <w:r w:rsidRPr="00225CE0">
        <w:rPr>
          <w:rFonts w:hint="cs"/>
          <w:rtl/>
          <w:lang w:eastAsia="he-IL"/>
        </w:rPr>
        <w:t>.</w:t>
      </w:r>
      <w:r>
        <w:rPr>
          <w:rStyle w:val="a5"/>
          <w:rFonts w:eastAsia="Calibri"/>
          <w:rtl/>
          <w:lang w:eastAsia="he-IL"/>
        </w:rPr>
        <w:footnoteReference w:id="2"/>
      </w:r>
      <w:r>
        <w:rPr>
          <w:rFonts w:hint="cs"/>
          <w:rtl/>
          <w:lang w:eastAsia="he-IL"/>
        </w:rPr>
        <w:t xml:space="preserve"> אולם אפשר גם להבין שבדיני ממונות יש בכוחם של בעלי הדין להשפיע על דיני עדות ביחס אליהם, וכך הם יכולים להגדיר את העדים ככשרים לעניין הדיון הנוכחי בבית הדין, ולפי הבנה זו מסתבר שהדבר נכלל במצוות "אם לא יגיד". ויעוין בלשון תוספות הרא"ש (סנהדרין כד ע"ב), שאומנם נאמרה ביחס לקבלת דיינים פסולים אך אפשר שכוחה יפה גם ביחס לעדים: "</w:t>
      </w:r>
      <w:r w:rsidRPr="00225CE0">
        <w:rPr>
          <w:rtl/>
          <w:lang w:eastAsia="he-IL"/>
        </w:rPr>
        <w:t>כיון שהכשירום להיות דיינים הוי כא</w:t>
      </w:r>
      <w:r>
        <w:rPr>
          <w:rFonts w:hint="cs"/>
          <w:rtl/>
          <w:lang w:eastAsia="he-IL"/>
        </w:rPr>
        <w:t>ִ</w:t>
      </w:r>
      <w:r w:rsidRPr="00225CE0">
        <w:rPr>
          <w:rtl/>
          <w:lang w:eastAsia="he-IL"/>
        </w:rPr>
        <w:t>לו היו כשרים ופסקו הדין"</w:t>
      </w:r>
      <w:r>
        <w:rPr>
          <w:rFonts w:hint="cs"/>
          <w:rtl/>
          <w:lang w:eastAsia="he-IL"/>
        </w:rPr>
        <w:t xml:space="preserve"> (וראו עוד את השיטות השונות שהובאו בברכי יוסף שם). אומנם מדברי המנחת חינוך נראה שהבין שלעניין מצוות עדות אין צורך בשם עד אלא בכל יכולת של אדם להועיל בפועל בבית דין באמצעות הדברים שיאמר שם.</w:t>
      </w:r>
    </w:p>
    <w:p w14:paraId="1F7988F0" w14:textId="77777777" w:rsidR="00B86E7E" w:rsidRDefault="00B86E7E" w:rsidP="00B86E7E">
      <w:pPr>
        <w:rPr>
          <w:rtl/>
          <w:lang w:eastAsia="he-IL"/>
        </w:rPr>
      </w:pPr>
      <w:r>
        <w:rPr>
          <w:rFonts w:hint="cs"/>
          <w:rtl/>
          <w:lang w:eastAsia="he-IL"/>
        </w:rPr>
        <w:t xml:space="preserve">בהתאם לשיטתו, המנחת חינוך (ס"ק י) מסתייג מדברי ספר החינוך, שכתב שמצוות העדות אינה נוהגת אלא בזכרים, משום שברור לו שבאותם תחומים שבהם אישה כשרה לעדות, כגון להתיר אישה בעדות על מות בעלה ומקום שהאמינו עד אחד בסוטה ובעגלה ערופה, היא מחויבת במצוות העדות, משום שעדותה קבילה בבית דין ויכולה להשפיע בכיוון הנכון (וזאת להבדיל מעד אחד, שהוא עד כשר מהתורה אך עדותו אינה מועילה אלא לחייב שבועה </w:t>
      </w:r>
      <w:r>
        <w:rPr>
          <w:rtl/>
          <w:lang w:eastAsia="he-IL"/>
        </w:rPr>
        <w:t>–</w:t>
      </w:r>
      <w:r>
        <w:rPr>
          <w:rFonts w:hint="cs"/>
          <w:rtl/>
          <w:lang w:eastAsia="he-IL"/>
        </w:rPr>
        <w:t xml:space="preserve"> ראו מנחת חינוך ס"ק ב).</w:t>
      </w:r>
    </w:p>
    <w:p w14:paraId="1487295F" w14:textId="77777777" w:rsidR="00B86E7E" w:rsidRDefault="00B86E7E" w:rsidP="00B86E7E">
      <w:pPr>
        <w:rPr>
          <w:rtl/>
          <w:lang w:eastAsia="he-IL"/>
        </w:rPr>
      </w:pPr>
      <w:r>
        <w:rPr>
          <w:rFonts w:hint="cs"/>
          <w:rtl/>
          <w:lang w:eastAsia="he-IL"/>
        </w:rPr>
        <w:t>כך או כך, מסתבר שמי שיכול להועיל לחברו בעדותו מחויב לעשות זאת אף אם אין בכך משום "אם לא יגיד", וזאת בעזרת מחייבים אחרים שיש בתורתנו, כפי שהעלה קצות החושן שם: "</w:t>
      </w:r>
      <w:r w:rsidRPr="00D92ADD">
        <w:rPr>
          <w:rtl/>
          <w:lang w:eastAsia="he-IL"/>
        </w:rPr>
        <w:t>נראה דא</w:t>
      </w:r>
      <w:r>
        <w:rPr>
          <w:rFonts w:hint="cs"/>
          <w:rtl/>
          <w:lang w:eastAsia="he-IL"/>
        </w:rPr>
        <w:t>ף על גב</w:t>
      </w:r>
      <w:r w:rsidRPr="00D92ADD">
        <w:rPr>
          <w:rtl/>
          <w:lang w:eastAsia="he-IL"/>
        </w:rPr>
        <w:t xml:space="preserve"> דאינו חייב משום </w:t>
      </w:r>
      <w:r>
        <w:rPr>
          <w:rFonts w:hint="cs"/>
          <w:rtl/>
          <w:lang w:eastAsia="he-IL"/>
        </w:rPr>
        <w:t>'</w:t>
      </w:r>
      <w:r w:rsidRPr="00D92ADD">
        <w:rPr>
          <w:rtl/>
          <w:lang w:eastAsia="he-IL"/>
        </w:rPr>
        <w:t>לא יגיד</w:t>
      </w:r>
      <w:r>
        <w:rPr>
          <w:rFonts w:hint="cs"/>
          <w:rtl/>
          <w:lang w:eastAsia="he-IL"/>
        </w:rPr>
        <w:t>',</w:t>
      </w:r>
      <w:r w:rsidRPr="00D92ADD">
        <w:rPr>
          <w:rtl/>
          <w:lang w:eastAsia="he-IL"/>
        </w:rPr>
        <w:t xml:space="preserve"> אפ</w:t>
      </w:r>
      <w:r>
        <w:rPr>
          <w:rFonts w:hint="cs"/>
          <w:rtl/>
          <w:lang w:eastAsia="he-IL"/>
        </w:rPr>
        <w:t>ילו הכי</w:t>
      </w:r>
      <w:r w:rsidRPr="00D92ADD">
        <w:rPr>
          <w:rtl/>
          <w:lang w:eastAsia="he-IL"/>
        </w:rPr>
        <w:t xml:space="preserve"> מצוה איכא להעיד ומשום השבת אבידה</w:t>
      </w:r>
      <w:r>
        <w:rPr>
          <w:rFonts w:hint="cs"/>
          <w:rtl/>
          <w:lang w:eastAsia="he-IL"/>
        </w:rPr>
        <w:t>".</w:t>
      </w:r>
    </w:p>
    <w:p w14:paraId="5E3AACCC" w14:textId="77777777" w:rsidR="00B86E7E" w:rsidRDefault="00B86E7E" w:rsidP="00B86E7E">
      <w:pPr>
        <w:rPr>
          <w:rtl/>
          <w:lang w:eastAsia="he-IL"/>
        </w:rPr>
      </w:pPr>
    </w:p>
    <w:p w14:paraId="204ACE3F" w14:textId="2DB04458" w:rsidR="00B86E7E" w:rsidRDefault="00B86E7E" w:rsidP="00B86E7E">
      <w:pPr>
        <w:pStyle w:val="2"/>
        <w:rPr>
          <w:rtl/>
          <w:lang w:eastAsia="he-IL"/>
        </w:rPr>
      </w:pPr>
      <w:r>
        <w:rPr>
          <w:rFonts w:hint="cs"/>
          <w:rtl/>
          <w:lang w:eastAsia="he-IL"/>
        </w:rPr>
        <w:t>עדות מלך</w:t>
      </w:r>
    </w:p>
    <w:p w14:paraId="70D70B38" w14:textId="77777777" w:rsidR="00B86E7E" w:rsidRDefault="00B86E7E" w:rsidP="00B86E7E">
      <w:pPr>
        <w:rPr>
          <w:rtl/>
          <w:lang w:eastAsia="he-IL"/>
        </w:rPr>
      </w:pPr>
      <w:r>
        <w:rPr>
          <w:rFonts w:hint="cs"/>
          <w:rtl/>
          <w:lang w:eastAsia="he-IL"/>
        </w:rPr>
        <w:t>ספר החינוך קובע ש"</w:t>
      </w:r>
      <w:r w:rsidRPr="00456CFC">
        <w:rPr>
          <w:rtl/>
          <w:lang w:eastAsia="he-IL"/>
        </w:rPr>
        <w:t>מלכי ישראל לא מעידין על אחרים ולא אחרים עליהם, משום מעשה שהיה, כמו שבא</w:t>
      </w:r>
      <w:r>
        <w:rPr>
          <w:rtl/>
          <w:lang w:eastAsia="he-IL"/>
        </w:rPr>
        <w:t xml:space="preserve"> </w:t>
      </w:r>
      <w:r>
        <w:rPr>
          <w:rtl/>
          <w:lang w:eastAsia="he-IL"/>
        </w:rPr>
        <w:lastRenderedPageBreak/>
        <w:t>בסנהדרין פרק כהן גדול</w:t>
      </w:r>
      <w:r>
        <w:rPr>
          <w:rFonts w:hint="cs"/>
          <w:rtl/>
          <w:lang w:eastAsia="he-IL"/>
        </w:rPr>
        <w:t>,</w:t>
      </w:r>
      <w:r>
        <w:rPr>
          <w:rStyle w:val="a5"/>
          <w:rFonts w:eastAsia="Calibri"/>
          <w:rtl/>
          <w:lang w:eastAsia="he-IL"/>
        </w:rPr>
        <w:footnoteReference w:id="3"/>
      </w:r>
      <w:r w:rsidRPr="00456CFC">
        <w:rPr>
          <w:rtl/>
          <w:lang w:eastAsia="he-IL"/>
        </w:rPr>
        <w:t xml:space="preserve"> אבל מלכי בית דוד מעידין ומעידין עליהם</w:t>
      </w:r>
      <w:r>
        <w:rPr>
          <w:rFonts w:hint="cs"/>
          <w:rtl/>
          <w:lang w:eastAsia="he-IL"/>
        </w:rPr>
        <w:t>". המנחת חינוך (ס"ק ח) מסתייג מכך ביחס למלכי בית דוד, וטוען שהם אינם מעידים מחמת כבודם, והביא שהכסף משנה הסתפק אם המלך מעיד בדבר איסור או בדיני נפשות, ושלגישת התוספות הוא מעיד בכך. המנחת חינוך עצמו התקשה (במצווה הבאה) בשאלה מניין שעדותו של מלך פסולה (וניגע בכך להלן):</w:t>
      </w:r>
    </w:p>
    <w:p w14:paraId="04D6565D" w14:textId="77777777" w:rsidR="00B86E7E" w:rsidRPr="00B86E7E" w:rsidRDefault="00B86E7E" w:rsidP="00B86E7E">
      <w:pPr>
        <w:ind w:left="720"/>
        <w:rPr>
          <w:sz w:val="22"/>
          <w:szCs w:val="22"/>
          <w:rtl/>
          <w:lang w:eastAsia="he-IL"/>
        </w:rPr>
      </w:pPr>
      <w:r w:rsidRPr="00B86E7E">
        <w:rPr>
          <w:rFonts w:hint="cs"/>
          <w:sz w:val="22"/>
          <w:szCs w:val="22"/>
          <w:rtl/>
          <w:lang w:eastAsia="he-IL"/>
        </w:rPr>
        <w:t>"</w:t>
      </w:r>
      <w:r w:rsidRPr="00B86E7E">
        <w:rPr>
          <w:sz w:val="22"/>
          <w:szCs w:val="22"/>
          <w:rtl/>
          <w:lang w:eastAsia="he-IL"/>
        </w:rPr>
        <w:t>דד</w:t>
      </w:r>
      <w:r w:rsidRPr="00B86E7E">
        <w:rPr>
          <w:rFonts w:hint="cs"/>
          <w:sz w:val="22"/>
          <w:szCs w:val="22"/>
          <w:rtl/>
          <w:lang w:eastAsia="he-IL"/>
        </w:rPr>
        <w:t xml:space="preserve">ברי הרמב"ם </w:t>
      </w:r>
      <w:r w:rsidRPr="00B86E7E">
        <w:rPr>
          <w:sz w:val="22"/>
          <w:szCs w:val="22"/>
          <w:rtl/>
          <w:lang w:eastAsia="he-IL"/>
        </w:rPr>
        <w:t>צ</w:t>
      </w:r>
      <w:r w:rsidRPr="00B86E7E">
        <w:rPr>
          <w:rFonts w:hint="cs"/>
          <w:sz w:val="22"/>
          <w:szCs w:val="22"/>
          <w:rtl/>
          <w:lang w:eastAsia="he-IL"/>
        </w:rPr>
        <w:t>ריכים עיון</w:t>
      </w:r>
      <w:r w:rsidRPr="00B86E7E">
        <w:rPr>
          <w:sz w:val="22"/>
          <w:szCs w:val="22"/>
          <w:rtl/>
          <w:lang w:eastAsia="he-IL"/>
        </w:rPr>
        <w:t xml:space="preserve"> מ</w:t>
      </w:r>
      <w:r w:rsidRPr="00B86E7E">
        <w:rPr>
          <w:rFonts w:hint="cs"/>
          <w:sz w:val="22"/>
          <w:szCs w:val="22"/>
          <w:rtl/>
          <w:lang w:eastAsia="he-IL"/>
        </w:rPr>
        <w:t>ה שכתב</w:t>
      </w:r>
      <w:r w:rsidRPr="00B86E7E">
        <w:rPr>
          <w:sz w:val="22"/>
          <w:szCs w:val="22"/>
          <w:rtl/>
          <w:lang w:eastAsia="he-IL"/>
        </w:rPr>
        <w:t xml:space="preserve"> כל הפסולים וכלל מלך עמהם</w:t>
      </w:r>
      <w:r w:rsidRPr="00B86E7E">
        <w:rPr>
          <w:rFonts w:hint="cs"/>
          <w:sz w:val="22"/>
          <w:szCs w:val="22"/>
          <w:rtl/>
          <w:lang w:eastAsia="he-IL"/>
        </w:rPr>
        <w:t xml:space="preserve">, </w:t>
      </w:r>
      <w:r w:rsidRPr="00B86E7E">
        <w:rPr>
          <w:sz w:val="22"/>
          <w:szCs w:val="22"/>
          <w:rtl/>
          <w:lang w:eastAsia="he-IL"/>
        </w:rPr>
        <w:t>וסיים שאין מוציאין ממון בעדותן</w:t>
      </w:r>
      <w:r w:rsidRPr="00B86E7E">
        <w:rPr>
          <w:rFonts w:hint="cs"/>
          <w:sz w:val="22"/>
          <w:szCs w:val="22"/>
          <w:rtl/>
          <w:lang w:eastAsia="he-IL"/>
        </w:rPr>
        <w:t>,</w:t>
      </w:r>
      <w:r w:rsidRPr="00B86E7E">
        <w:rPr>
          <w:sz w:val="22"/>
          <w:szCs w:val="22"/>
          <w:rtl/>
          <w:lang w:eastAsia="he-IL"/>
        </w:rPr>
        <w:t xml:space="preserve"> נראה מדבריו דאם עבר והעיד דאי</w:t>
      </w:r>
      <w:r w:rsidRPr="00B86E7E">
        <w:rPr>
          <w:rFonts w:hint="cs"/>
          <w:sz w:val="22"/>
          <w:szCs w:val="22"/>
          <w:rtl/>
          <w:lang w:eastAsia="he-IL"/>
        </w:rPr>
        <w:t>ן</w:t>
      </w:r>
      <w:r w:rsidRPr="00B86E7E">
        <w:rPr>
          <w:sz w:val="22"/>
          <w:szCs w:val="22"/>
          <w:rtl/>
          <w:lang w:eastAsia="he-IL"/>
        </w:rPr>
        <w:t xml:space="preserve"> מועיל</w:t>
      </w:r>
      <w:r w:rsidRPr="00B86E7E">
        <w:rPr>
          <w:rFonts w:hint="cs"/>
          <w:sz w:val="22"/>
          <w:szCs w:val="22"/>
          <w:rtl/>
          <w:lang w:eastAsia="he-IL"/>
        </w:rPr>
        <w:t>ה</w:t>
      </w:r>
      <w:r w:rsidRPr="00B86E7E">
        <w:rPr>
          <w:sz w:val="22"/>
          <w:szCs w:val="22"/>
          <w:rtl/>
          <w:lang w:eastAsia="he-IL"/>
        </w:rPr>
        <w:t xml:space="preserve"> עדותו</w:t>
      </w:r>
      <w:r w:rsidRPr="00B86E7E">
        <w:rPr>
          <w:rFonts w:hint="cs"/>
          <w:sz w:val="22"/>
          <w:szCs w:val="22"/>
          <w:rtl/>
          <w:lang w:eastAsia="he-IL"/>
        </w:rPr>
        <w:t>,</w:t>
      </w:r>
      <w:r w:rsidRPr="00B86E7E">
        <w:rPr>
          <w:sz w:val="22"/>
          <w:szCs w:val="22"/>
          <w:rtl/>
          <w:lang w:eastAsia="he-IL"/>
        </w:rPr>
        <w:t xml:space="preserve"> ולא ידעתי מנ</w:t>
      </w:r>
      <w:r w:rsidRPr="00B86E7E">
        <w:rPr>
          <w:rFonts w:hint="cs"/>
          <w:sz w:val="22"/>
          <w:szCs w:val="22"/>
          <w:rtl/>
          <w:lang w:eastAsia="he-IL"/>
        </w:rPr>
        <w:t>א ליה, דמבואר רק</w:t>
      </w:r>
      <w:r w:rsidRPr="00B86E7E">
        <w:rPr>
          <w:sz w:val="22"/>
          <w:szCs w:val="22"/>
          <w:rtl/>
          <w:lang w:eastAsia="he-IL"/>
        </w:rPr>
        <w:t xml:space="preserve"> דא</w:t>
      </w:r>
      <w:r w:rsidRPr="00B86E7E">
        <w:rPr>
          <w:rFonts w:hint="cs"/>
          <w:sz w:val="22"/>
          <w:szCs w:val="22"/>
          <w:rtl/>
          <w:lang w:eastAsia="he-IL"/>
        </w:rPr>
        <w:t>ין צריך</w:t>
      </w:r>
      <w:r w:rsidRPr="00B86E7E">
        <w:rPr>
          <w:sz w:val="22"/>
          <w:szCs w:val="22"/>
          <w:rtl/>
          <w:lang w:eastAsia="he-IL"/>
        </w:rPr>
        <w:t xml:space="preserve"> לילך מפני כבודו</w:t>
      </w:r>
      <w:r w:rsidRPr="00B86E7E">
        <w:rPr>
          <w:rFonts w:hint="cs"/>
          <w:sz w:val="22"/>
          <w:szCs w:val="22"/>
          <w:rtl/>
          <w:lang w:eastAsia="he-IL"/>
        </w:rPr>
        <w:t>,</w:t>
      </w:r>
      <w:r w:rsidRPr="00B86E7E">
        <w:rPr>
          <w:sz w:val="22"/>
          <w:szCs w:val="22"/>
          <w:rtl/>
          <w:lang w:eastAsia="he-IL"/>
        </w:rPr>
        <w:t xml:space="preserve"> אבל שלא יועיל עדותו מה</w:t>
      </w:r>
      <w:r w:rsidRPr="00B86E7E">
        <w:rPr>
          <w:rFonts w:hint="cs"/>
          <w:sz w:val="22"/>
          <w:szCs w:val="22"/>
          <w:rtl/>
          <w:lang w:eastAsia="he-IL"/>
        </w:rPr>
        <w:t>יכי תיתי,</w:t>
      </w:r>
      <w:r w:rsidRPr="00B86E7E">
        <w:rPr>
          <w:sz w:val="22"/>
          <w:szCs w:val="22"/>
          <w:rtl/>
          <w:lang w:eastAsia="he-IL"/>
        </w:rPr>
        <w:t xml:space="preserve"> וצ</w:t>
      </w:r>
      <w:r w:rsidRPr="00B86E7E">
        <w:rPr>
          <w:rFonts w:hint="cs"/>
          <w:sz w:val="22"/>
          <w:szCs w:val="22"/>
          <w:rtl/>
          <w:lang w:eastAsia="he-IL"/>
        </w:rPr>
        <w:t>ריך עיון".</w:t>
      </w:r>
    </w:p>
    <w:p w14:paraId="2DBBDA5E" w14:textId="77777777" w:rsidR="00B86E7E" w:rsidRDefault="00B86E7E" w:rsidP="00B86E7E">
      <w:pPr>
        <w:rPr>
          <w:rtl/>
          <w:lang w:eastAsia="he-IL"/>
        </w:rPr>
      </w:pPr>
      <w:r>
        <w:rPr>
          <w:rFonts w:hint="cs"/>
          <w:rtl/>
          <w:lang w:eastAsia="he-IL"/>
        </w:rPr>
        <w:t xml:space="preserve">נעיר כי בדברי רבנו חננאל (יומא עד ע"א) מצינו </w:t>
      </w:r>
      <w:r w:rsidRPr="00862629">
        <w:rPr>
          <w:rtl/>
          <w:lang w:eastAsia="he-IL"/>
        </w:rPr>
        <w:t xml:space="preserve">מקור </w:t>
      </w:r>
      <w:r>
        <w:rPr>
          <w:rFonts w:hint="cs"/>
          <w:rtl/>
          <w:lang w:eastAsia="he-IL"/>
        </w:rPr>
        <w:t xml:space="preserve">מחודש לכך שמלכי בית דוד </w:t>
      </w:r>
      <w:r w:rsidRPr="00862629">
        <w:rPr>
          <w:rtl/>
          <w:lang w:eastAsia="he-IL"/>
        </w:rPr>
        <w:t>פסול</w:t>
      </w:r>
      <w:r>
        <w:rPr>
          <w:rFonts w:hint="cs"/>
          <w:rtl/>
          <w:lang w:eastAsia="he-IL"/>
        </w:rPr>
        <w:t>ים</w:t>
      </w:r>
      <w:r w:rsidRPr="00862629">
        <w:rPr>
          <w:rtl/>
          <w:lang w:eastAsia="he-IL"/>
        </w:rPr>
        <w:t xml:space="preserve"> מדאורייתא להעיד: "כדכתיב 'בית דוד דינו לבקר משפט', ואין עד נעשה דיין". לכאורה הדברים אינם מובנים </w:t>
      </w:r>
      <w:r>
        <w:rPr>
          <w:rtl/>
          <w:lang w:eastAsia="he-IL"/>
        </w:rPr>
        <w:t>–</w:t>
      </w:r>
      <w:r w:rsidRPr="00862629">
        <w:rPr>
          <w:rtl/>
          <w:lang w:eastAsia="he-IL"/>
        </w:rPr>
        <w:t xml:space="preserve"> מדוע </w:t>
      </w:r>
      <w:r>
        <w:rPr>
          <w:rFonts w:hint="cs"/>
          <w:rtl/>
          <w:lang w:eastAsia="he-IL"/>
        </w:rPr>
        <w:t>אי אפשר שה</w:t>
      </w:r>
      <w:r w:rsidRPr="00862629">
        <w:rPr>
          <w:rtl/>
          <w:lang w:eastAsia="he-IL"/>
        </w:rPr>
        <w:t xml:space="preserve">מלך </w:t>
      </w:r>
      <w:r>
        <w:rPr>
          <w:rFonts w:hint="cs"/>
          <w:rtl/>
          <w:lang w:eastAsia="he-IL"/>
        </w:rPr>
        <w:t>י</w:t>
      </w:r>
      <w:r w:rsidRPr="00862629">
        <w:rPr>
          <w:rtl/>
          <w:lang w:eastAsia="he-IL"/>
        </w:rPr>
        <w:t>עיד ואנשים אחרים יה</w:t>
      </w:r>
      <w:r>
        <w:rPr>
          <w:rFonts w:hint="cs"/>
          <w:rtl/>
          <w:lang w:eastAsia="he-IL"/>
        </w:rPr>
        <w:t>י</w:t>
      </w:r>
      <w:r w:rsidRPr="00862629">
        <w:rPr>
          <w:rtl/>
          <w:lang w:eastAsia="he-IL"/>
        </w:rPr>
        <w:t>ו דיינים? מסתבר שרבנו חננאל הבין שדין "אין עד נעשה דיין" אינו מבוסס על חשש מעדות שאי</w:t>
      </w:r>
      <w:r>
        <w:rPr>
          <w:rFonts w:hint="cs"/>
          <w:rtl/>
          <w:lang w:eastAsia="he-IL"/>
        </w:rPr>
        <w:t xml:space="preserve"> </w:t>
      </w:r>
      <w:r w:rsidRPr="00862629">
        <w:rPr>
          <w:rtl/>
          <w:lang w:eastAsia="he-IL"/>
        </w:rPr>
        <w:t xml:space="preserve">אתה יכול להזימה אלא </w:t>
      </w:r>
      <w:r>
        <w:rPr>
          <w:rFonts w:hint="cs"/>
          <w:rtl/>
          <w:lang w:eastAsia="he-IL"/>
        </w:rPr>
        <w:t xml:space="preserve">על </w:t>
      </w:r>
      <w:r w:rsidRPr="00862629">
        <w:rPr>
          <w:rtl/>
          <w:lang w:eastAsia="he-IL"/>
        </w:rPr>
        <w:t xml:space="preserve">הפרדה עקרונית בין שתי מהויות בבית הדין, כפי שהציעו התוספות </w:t>
      </w:r>
      <w:r>
        <w:rPr>
          <w:rFonts w:hint="cs"/>
          <w:rtl/>
          <w:lang w:eastAsia="he-IL"/>
        </w:rPr>
        <w:t>(סנהדרין</w:t>
      </w:r>
      <w:r w:rsidRPr="00862629">
        <w:rPr>
          <w:rtl/>
          <w:lang w:eastAsia="he-IL"/>
        </w:rPr>
        <w:t xml:space="preserve"> ט ע"א ד"ה בזמן</w:t>
      </w:r>
      <w:r>
        <w:rPr>
          <w:rFonts w:hint="cs"/>
          <w:rtl/>
          <w:lang w:eastAsia="he-IL"/>
        </w:rPr>
        <w:t>)</w:t>
      </w:r>
      <w:r w:rsidRPr="00862629">
        <w:rPr>
          <w:rtl/>
          <w:lang w:eastAsia="he-IL"/>
        </w:rPr>
        <w:t xml:space="preserve">: "דכתיב 'ועמדו שני האנשים וגו'' </w:t>
      </w:r>
      <w:r>
        <w:rPr>
          <w:rFonts w:hint="cs"/>
          <w:rtl/>
          <w:lang w:eastAsia="he-IL"/>
        </w:rPr>
        <w:t>–</w:t>
      </w:r>
      <w:r w:rsidRPr="00862629">
        <w:rPr>
          <w:rtl/>
          <w:lang w:eastAsia="he-IL"/>
        </w:rPr>
        <w:t xml:space="preserve"> 'שני האנשים' אלו העדים, 'לפני השם' אלו הדיינין, דבעינן שיעידו העדים לפני הדיינין ולא שיהו בעצמן דיינין". מלכי בית דוד מוגדרים במהותם האישית כדמויות שיפוטיות, ו</w:t>
      </w:r>
      <w:r>
        <w:rPr>
          <w:rFonts w:hint="cs"/>
          <w:rtl/>
          <w:lang w:eastAsia="he-IL"/>
        </w:rPr>
        <w:t>הדבר</w:t>
      </w:r>
      <w:r w:rsidRPr="00862629">
        <w:rPr>
          <w:rtl/>
          <w:lang w:eastAsia="he-IL"/>
        </w:rPr>
        <w:t xml:space="preserve"> מפקיע אותם מלתפקד ככלי ראיה חיצוני דוגמת עדים.</w:t>
      </w:r>
    </w:p>
    <w:p w14:paraId="1AB524EA" w14:textId="77777777" w:rsidR="00B86E7E" w:rsidRDefault="00B86E7E" w:rsidP="00B86E7E">
      <w:pPr>
        <w:rPr>
          <w:rtl/>
        </w:rPr>
      </w:pPr>
      <w:r w:rsidRPr="00862629">
        <w:rPr>
          <w:rtl/>
          <w:lang w:eastAsia="he-IL"/>
        </w:rPr>
        <w:t>מכל מקום, באשר למלכי ישראל נראה בפשטות שמדובר בפסול דרבנן מחמת מעשה שהיה,</w:t>
      </w:r>
      <w:r w:rsidRPr="00862629">
        <w:rPr>
          <w:rtl/>
        </w:rPr>
        <w:t xml:space="preserve"> כיוון שהם אינם יודעים להכפיף עצמם לבית הדין. מנגד, הגמרא בשבועות </w:t>
      </w:r>
      <w:r>
        <w:rPr>
          <w:rFonts w:hint="cs"/>
          <w:rtl/>
        </w:rPr>
        <w:t>(</w:t>
      </w:r>
      <w:r w:rsidRPr="00862629">
        <w:rPr>
          <w:rtl/>
        </w:rPr>
        <w:t>לא ע"א</w:t>
      </w:r>
      <w:r>
        <w:rPr>
          <w:rFonts w:hint="cs"/>
          <w:rtl/>
        </w:rPr>
        <w:t>)</w:t>
      </w:r>
      <w:r w:rsidRPr="00862629">
        <w:rPr>
          <w:rtl/>
        </w:rPr>
        <w:t xml:space="preserve"> הביאה את פסולו של מלך כדוגמה לפסול עדות דאורייתא. הריטב"א </w:t>
      </w:r>
      <w:r>
        <w:rPr>
          <w:rFonts w:hint="cs"/>
          <w:rtl/>
        </w:rPr>
        <w:t>(</w:t>
      </w:r>
      <w:r w:rsidRPr="00862629">
        <w:rPr>
          <w:rtl/>
        </w:rPr>
        <w:t>שם</w:t>
      </w:r>
      <w:r>
        <w:rPr>
          <w:rFonts w:hint="cs"/>
          <w:rtl/>
        </w:rPr>
        <w:t>)</w:t>
      </w:r>
      <w:r w:rsidRPr="00862629">
        <w:rPr>
          <w:rtl/>
        </w:rPr>
        <w:t xml:space="preserve"> עמד על </w:t>
      </w:r>
      <w:r>
        <w:rPr>
          <w:rFonts w:hint="cs"/>
          <w:rtl/>
        </w:rPr>
        <w:t>ה</w:t>
      </w:r>
      <w:r w:rsidRPr="00862629">
        <w:rPr>
          <w:rtl/>
        </w:rPr>
        <w:t xml:space="preserve">מתח שבין הסוגיות וכתב שהסוגיה בסנהדרין </w:t>
      </w:r>
      <w:r>
        <w:rPr>
          <w:rFonts w:hint="cs"/>
          <w:rtl/>
        </w:rPr>
        <w:t>(</w:t>
      </w:r>
      <w:r w:rsidRPr="00862629">
        <w:rPr>
          <w:rtl/>
        </w:rPr>
        <w:t>יט ע"א</w:t>
      </w:r>
      <w:r>
        <w:rPr>
          <w:rFonts w:hint="cs"/>
          <w:rtl/>
        </w:rPr>
        <w:t>)</w:t>
      </w:r>
      <w:r w:rsidRPr="00862629">
        <w:rPr>
          <w:rtl/>
        </w:rPr>
        <w:t xml:space="preserve"> אינה נוגעת אלא לפסול הדיינות, "אבל לגבי מה ששנינו שאינו מעיד, </w:t>
      </w:r>
      <w:r w:rsidRPr="00862629">
        <w:rPr>
          <w:b/>
          <w:bCs/>
          <w:rtl/>
        </w:rPr>
        <w:t>שהוא משום כבודו</w:t>
      </w:r>
      <w:r w:rsidRPr="00862629">
        <w:rPr>
          <w:rtl/>
        </w:rPr>
        <w:t>, בכל מלך הוא, דהא מדאורייתא הוא"</w:t>
      </w:r>
      <w:r>
        <w:rPr>
          <w:rFonts w:hint="cs"/>
          <w:rtl/>
        </w:rPr>
        <w:t xml:space="preserve"> – </w:t>
      </w:r>
      <w:r w:rsidRPr="00862629">
        <w:rPr>
          <w:rtl/>
        </w:rPr>
        <w:t>חובת הכבוד ביחס למלך היא מדאורייתא, והיא המונעת אותו מלהעיד בבית דין.</w:t>
      </w:r>
    </w:p>
    <w:p w14:paraId="2159E1D7" w14:textId="18FF02FF" w:rsidR="003A2794" w:rsidRPr="00B86E7E" w:rsidRDefault="00B86E7E" w:rsidP="00B86E7E">
      <w:pPr>
        <w:rPr>
          <w:sz w:val="22"/>
          <w:rtl/>
          <w:lang w:eastAsia="he-IL"/>
        </w:rPr>
      </w:pPr>
      <w:r w:rsidRPr="00862629">
        <w:rPr>
          <w:rtl/>
        </w:rPr>
        <w:t xml:space="preserve">אולם הרמב"ם </w:t>
      </w:r>
      <w:r>
        <w:rPr>
          <w:rFonts w:hint="cs"/>
          <w:rtl/>
        </w:rPr>
        <w:t>(</w:t>
      </w:r>
      <w:r w:rsidRPr="00862629">
        <w:rPr>
          <w:rtl/>
        </w:rPr>
        <w:t>עדות יא</w:t>
      </w:r>
      <w:r>
        <w:rPr>
          <w:rFonts w:hint="cs"/>
          <w:rtl/>
        </w:rPr>
        <w:t>,</w:t>
      </w:r>
      <w:r w:rsidRPr="00862629">
        <w:rPr>
          <w:rtl/>
        </w:rPr>
        <w:t xml:space="preserve"> ט) כתב: "מלכי ישראל לא מעידין ולא מעידין עליהן, מפני שהן אלמים בעלי זרוע ואינן נכנעין תחת עול הדיינים"</w:t>
      </w:r>
      <w:r>
        <w:rPr>
          <w:rFonts w:hint="cs"/>
          <w:rtl/>
        </w:rPr>
        <w:t xml:space="preserve"> –</w:t>
      </w:r>
      <w:r w:rsidRPr="00862629">
        <w:rPr>
          <w:rtl/>
        </w:rPr>
        <w:t xml:space="preserve"> משמע שהפסול נובע </w:t>
      </w:r>
      <w:r w:rsidRPr="00862629">
        <w:rPr>
          <w:rtl/>
        </w:rPr>
        <w:t>מחשש ומתייחס למלכי ישראל בלבד. ומה באשר לסוגיה בשבועות? ה</w:t>
      </w:r>
      <w:r>
        <w:rPr>
          <w:rFonts w:hint="cs"/>
          <w:rtl/>
        </w:rPr>
        <w:t>גר"ש פישר ז"ל</w:t>
      </w:r>
      <w:r>
        <w:rPr>
          <w:rtl/>
        </w:rPr>
        <w:t xml:space="preserve"> </w:t>
      </w:r>
      <w:r>
        <w:rPr>
          <w:rFonts w:hint="cs"/>
          <w:rtl/>
        </w:rPr>
        <w:t>(</w:t>
      </w:r>
      <w:r>
        <w:rPr>
          <w:rtl/>
        </w:rPr>
        <w:t>בית ישי סי</w:t>
      </w:r>
      <w:r>
        <w:rPr>
          <w:rFonts w:hint="cs"/>
          <w:rtl/>
        </w:rPr>
        <w:t>מן</w:t>
      </w:r>
      <w:r>
        <w:rPr>
          <w:rtl/>
        </w:rPr>
        <w:t xml:space="preserve"> ק"ו) </w:t>
      </w:r>
      <w:r>
        <w:rPr>
          <w:rFonts w:hint="cs"/>
          <w:rtl/>
        </w:rPr>
        <w:t>ה</w:t>
      </w:r>
      <w:r w:rsidRPr="00862629">
        <w:rPr>
          <w:rtl/>
        </w:rPr>
        <w:t xml:space="preserve">ציע שהגמרא שם לא נתכוונה לומר שיסוד הפסול הוא מדאורייתא אלא שמדאורייתא אין כל תוקף לעדותו. וזאת מדוע? הרב פישר </w:t>
      </w:r>
      <w:r>
        <w:rPr>
          <w:rFonts w:hint="cs"/>
          <w:rtl/>
        </w:rPr>
        <w:t>ה</w:t>
      </w:r>
      <w:r w:rsidRPr="00862629">
        <w:rPr>
          <w:rtl/>
        </w:rPr>
        <w:t xml:space="preserve">עלה טענה מחודשת, </w:t>
      </w:r>
      <w:r>
        <w:rPr>
          <w:rFonts w:hint="cs"/>
          <w:rtl/>
        </w:rPr>
        <w:t xml:space="preserve">ולפיה </w:t>
      </w:r>
      <w:r w:rsidRPr="00862629">
        <w:rPr>
          <w:rtl/>
        </w:rPr>
        <w:t>יסוד הכוח הייחודי שיש לעדות בבית דין</w:t>
      </w:r>
      <w:r>
        <w:rPr>
          <w:rFonts w:hint="cs"/>
          <w:rtl/>
        </w:rPr>
        <w:t xml:space="preserve"> הוא גזרת הכתוב מיוחדת שחידשה התורה, ה</w:t>
      </w:r>
      <w:r w:rsidRPr="00862629">
        <w:rPr>
          <w:rtl/>
        </w:rPr>
        <w:t>מבוסס</w:t>
      </w:r>
      <w:r>
        <w:rPr>
          <w:rFonts w:hint="cs"/>
          <w:rtl/>
        </w:rPr>
        <w:t>ת</w:t>
      </w:r>
      <w:r w:rsidRPr="00862629">
        <w:rPr>
          <w:rtl/>
        </w:rPr>
        <w:t xml:space="preserve"> על כך שיש מצו</w:t>
      </w:r>
      <w:r>
        <w:rPr>
          <w:rFonts w:hint="cs"/>
          <w:rtl/>
        </w:rPr>
        <w:t>ו</w:t>
      </w:r>
      <w:r w:rsidRPr="00862629">
        <w:rPr>
          <w:rtl/>
        </w:rPr>
        <w:t xml:space="preserve">ה להעיד. </w:t>
      </w:r>
      <w:r>
        <w:rPr>
          <w:rFonts w:hint="cs"/>
          <w:rtl/>
        </w:rPr>
        <w:t>לטענתו</w:t>
      </w:r>
      <w:r w:rsidRPr="00862629">
        <w:rPr>
          <w:rtl/>
        </w:rPr>
        <w:t>, די בכך שרבנן הפקיעו ממלכי ישראל את המצו</w:t>
      </w:r>
      <w:r>
        <w:rPr>
          <w:rFonts w:hint="cs"/>
          <w:rtl/>
        </w:rPr>
        <w:t>ו</w:t>
      </w:r>
      <w:r w:rsidRPr="00862629">
        <w:rPr>
          <w:rtl/>
        </w:rPr>
        <w:t>ה להעיד כדי לגרום לכך שכעת מדאורייתא אין עוד תוקף לעדותם.</w:t>
      </w:r>
      <w:r>
        <w:rPr>
          <w:rFonts w:hint="cs"/>
          <w:rtl/>
        </w:rPr>
        <w:t xml:space="preserve"> </w:t>
      </w:r>
      <w:r>
        <w:rPr>
          <w:rFonts w:hint="cs"/>
          <w:sz w:val="22"/>
          <w:rtl/>
          <w:lang w:eastAsia="he-IL"/>
        </w:rPr>
        <w:t>הדברים מחודשים וטעונים בחינה נוספת, ועוד חזון למועד.</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1B8E507D" w:rsidR="001041A0" w:rsidRDefault="001041A0" w:rsidP="001041A0">
            <w:pPr>
              <w:pStyle w:val="aa"/>
              <w:rPr>
                <w:rtl/>
              </w:rPr>
            </w:pPr>
            <w:bookmarkStart w:id="0" w:name="_Hlk86675528"/>
            <w:bookmarkStart w:id="1" w:name="_Hlk86676236"/>
            <w:r>
              <w:rPr>
                <w:rtl/>
              </w:rPr>
              <w:t>כל הזכויות שמורות לישיבת הר עציון</w:t>
            </w:r>
            <w:r>
              <w:rPr>
                <w:rFonts w:hint="cs"/>
                <w:rtl/>
              </w:rPr>
              <w:t xml:space="preserve"> ולרב </w:t>
            </w:r>
            <w:bookmarkEnd w:id="0"/>
            <w:r w:rsidR="00050E1C">
              <w:rPr>
                <w:rFonts w:hint="cs"/>
                <w:rtl/>
              </w:rPr>
              <w:t>שמואל שמעוני</w:t>
            </w:r>
          </w:p>
          <w:bookmarkEnd w:id="1"/>
          <w:p w14:paraId="09926106" w14:textId="1438D38D" w:rsidR="001041A0" w:rsidRDefault="001041A0" w:rsidP="001041A0">
            <w:pPr>
              <w:pStyle w:val="aa"/>
              <w:rPr>
                <w:rtl/>
              </w:rPr>
            </w:pPr>
            <w:r>
              <w:rPr>
                <w:rtl/>
              </w:rPr>
              <w:t xml:space="preserve">עורך: </w:t>
            </w:r>
            <w:r>
              <w:rPr>
                <w:rFonts w:hint="cs"/>
                <w:rtl/>
              </w:rPr>
              <w:t>יהודה רוזנברג, תשפ"</w:t>
            </w:r>
            <w:r w:rsidR="00E65647">
              <w:rPr>
                <w:rFonts w:hint="cs"/>
                <w:rtl/>
              </w:rPr>
              <w:t>ד</w:t>
            </w:r>
          </w:p>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1"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2"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0D110E1C" w14:textId="77777777" w:rsidR="001041A0" w:rsidRDefault="001041A0" w:rsidP="001041A0">
            <w:pPr>
              <w:pStyle w:val="aa"/>
              <w:rPr>
                <w:noProof w:val="0"/>
              </w:rPr>
            </w:pPr>
            <w:r>
              <w:rPr>
                <w:noProof w:val="0"/>
                <w:rtl/>
              </w:rPr>
              <w:t>דוא</w:t>
            </w:r>
            <w:r>
              <w:rPr>
                <w:rFonts w:hint="cs"/>
                <w:noProof w:val="0"/>
                <w:rtl/>
              </w:rPr>
              <w:t>"</w:t>
            </w:r>
            <w:r>
              <w:rPr>
                <w:noProof w:val="0"/>
                <w:rtl/>
              </w:rPr>
              <w:t xml:space="preserve">ל: </w:t>
            </w:r>
            <w:hyperlink r:id="rId13" w:history="1">
              <w:r>
                <w:rPr>
                  <w:rStyle w:val="Hyperlink"/>
                </w:rPr>
                <w:t>office@etzion.org.il</w:t>
              </w:r>
            </w:hyperlink>
          </w:p>
          <w:p w14:paraId="62570EE7" w14:textId="77777777" w:rsidR="001041A0" w:rsidRDefault="001041A0" w:rsidP="001041A0">
            <w:pPr>
              <w:pStyle w:val="aa"/>
              <w:jc w:val="both"/>
            </w:pPr>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2121E4">
      <w:headerReference w:type="even" r:id="rId14"/>
      <w:headerReference w:type="default" r:id="rId15"/>
      <w:headerReference w:type="first" r:id="rId16"/>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60B44" w14:textId="77777777" w:rsidR="002B13F2" w:rsidRDefault="002B13F2" w:rsidP="0073336C">
      <w:r>
        <w:separator/>
      </w:r>
    </w:p>
    <w:p w14:paraId="4F1B2484" w14:textId="77777777" w:rsidR="002B13F2" w:rsidRDefault="002B13F2"/>
  </w:endnote>
  <w:endnote w:type="continuationSeparator" w:id="0">
    <w:p w14:paraId="50D492A6" w14:textId="77777777" w:rsidR="002B13F2" w:rsidRDefault="002B13F2" w:rsidP="0073336C">
      <w:r>
        <w:continuationSeparator/>
      </w:r>
    </w:p>
    <w:p w14:paraId="060ACC51" w14:textId="77777777" w:rsidR="002B13F2" w:rsidRDefault="002B13F2"/>
  </w:endnote>
  <w:endnote w:type="continuationNotice" w:id="1">
    <w:p w14:paraId="0BADF503" w14:textId="77777777" w:rsidR="002B13F2" w:rsidRDefault="002B13F2">
      <w:pPr>
        <w:spacing w:after="0" w:line="240" w:lineRule="auto"/>
      </w:pPr>
    </w:p>
    <w:p w14:paraId="2B9D1E6D" w14:textId="77777777" w:rsidR="002B13F2" w:rsidRDefault="002B1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B5294" w14:textId="77777777" w:rsidR="002B13F2" w:rsidRDefault="002B13F2" w:rsidP="0073336C">
      <w:r>
        <w:separator/>
      </w:r>
    </w:p>
    <w:p w14:paraId="50ABE456" w14:textId="77777777" w:rsidR="002B13F2" w:rsidRDefault="002B13F2"/>
  </w:footnote>
  <w:footnote w:type="continuationSeparator" w:id="0">
    <w:p w14:paraId="20E3F73E" w14:textId="77777777" w:rsidR="002B13F2" w:rsidRDefault="002B13F2" w:rsidP="0073336C">
      <w:r>
        <w:continuationSeparator/>
      </w:r>
    </w:p>
    <w:p w14:paraId="6490BE64" w14:textId="77777777" w:rsidR="002B13F2" w:rsidRDefault="002B13F2"/>
  </w:footnote>
  <w:footnote w:type="continuationNotice" w:id="1">
    <w:p w14:paraId="2ED89601" w14:textId="77777777" w:rsidR="002B13F2" w:rsidRDefault="002B13F2">
      <w:pPr>
        <w:spacing w:after="0" w:line="240" w:lineRule="auto"/>
      </w:pPr>
    </w:p>
    <w:p w14:paraId="45FF6733" w14:textId="77777777" w:rsidR="002B13F2" w:rsidRDefault="002B13F2"/>
  </w:footnote>
  <w:footnote w:id="2">
    <w:p w14:paraId="21A12742" w14:textId="77777777" w:rsidR="00B86E7E" w:rsidRDefault="00B86E7E" w:rsidP="003106E9">
      <w:pPr>
        <w:pStyle w:val="a3"/>
        <w:spacing w:line="240" w:lineRule="auto"/>
        <w:ind w:left="0" w:firstLine="0"/>
      </w:pPr>
      <w:r>
        <w:rPr>
          <w:rStyle w:val="a5"/>
          <w:rFonts w:eastAsia="Narkisim"/>
        </w:rPr>
        <w:footnoteRef/>
      </w:r>
      <w:r>
        <w:rPr>
          <w:rtl/>
        </w:rPr>
        <w:t xml:space="preserve"> </w:t>
      </w:r>
      <w:r>
        <w:rPr>
          <w:rFonts w:hint="cs"/>
          <w:rtl/>
          <w:lang w:eastAsia="he-IL"/>
        </w:rPr>
        <w:t>וראו לשון הברכי יוסף (חושן משפט כח, ב): "</w:t>
      </w:r>
      <w:r w:rsidRPr="00225CE0">
        <w:rPr>
          <w:rtl/>
          <w:lang w:eastAsia="he-IL"/>
        </w:rPr>
        <w:t>לאו מתורת עדות הנתבע משלם אפומא דהאי סהדא כי קרוב הוא או פסול, דאין עדותו עדות כלל על פי התורה, אלא דקי"ל דכל תנאי שבממון תנאו קיים, ויכול אדם להתחייב במה שאינו חייב, ומהאי טעמא הכא נמי מתחייב בקבלת עד זה אשר לא כדת ונפשו אוותה ויעש</w:t>
      </w:r>
      <w:r>
        <w:rPr>
          <w:rFonts w:hint="cs"/>
          <w:rtl/>
          <w:lang w:eastAsia="he-IL"/>
        </w:rPr>
        <w:t>".</w:t>
      </w:r>
    </w:p>
  </w:footnote>
  <w:footnote w:id="3">
    <w:p w14:paraId="3E6BC573" w14:textId="77777777" w:rsidR="00B86E7E" w:rsidRPr="00456CFC" w:rsidRDefault="00B86E7E" w:rsidP="003106E9">
      <w:pPr>
        <w:pStyle w:val="a3"/>
        <w:spacing w:line="240" w:lineRule="auto"/>
        <w:ind w:left="0" w:firstLine="0"/>
        <w:rPr>
          <w:rtl/>
        </w:rPr>
      </w:pPr>
      <w:r>
        <w:rPr>
          <w:rStyle w:val="a5"/>
          <w:rFonts w:eastAsia="Narkisim"/>
        </w:rPr>
        <w:footnoteRef/>
      </w:r>
      <w:r>
        <w:rPr>
          <w:rtl/>
        </w:rPr>
        <w:t xml:space="preserve"> </w:t>
      </w:r>
      <w:r>
        <w:rPr>
          <w:rFonts w:hint="cs"/>
          <w:rtl/>
        </w:rPr>
        <w:t>סנהדרין יט ע"א–ע"ב: "</w:t>
      </w:r>
      <w:r w:rsidRPr="00456CFC">
        <w:rPr>
          <w:rtl/>
        </w:rPr>
        <w:t xml:space="preserve">דעבדיה דינאי מלכא קטל נפשא, אמר להו שמעון בן שטח לחכמים: תנו עיניכם בו ונדוננו. שלחו ליה: עבדך קטל נפשא. שדריה להו. שלחו ליה: תא אנת נמי להכא, </w:t>
      </w:r>
      <w:r>
        <w:rPr>
          <w:rFonts w:hint="cs"/>
          <w:rtl/>
        </w:rPr>
        <w:t>'</w:t>
      </w:r>
      <w:r w:rsidRPr="00456CFC">
        <w:rPr>
          <w:rtl/>
        </w:rPr>
        <w:t>והועד בבעליו</w:t>
      </w:r>
      <w:r>
        <w:rPr>
          <w:rFonts w:hint="cs"/>
          <w:rtl/>
        </w:rPr>
        <w:t>'</w:t>
      </w:r>
      <w:r w:rsidRPr="00456CFC">
        <w:rPr>
          <w:rtl/>
        </w:rPr>
        <w:t xml:space="preserve">, אמרה תורה: יבא בעל השור ויעמוד על שורו. אתא ויתיב. אמר ליה שמעון בן שטח: ינאי המלך! עמוד על רגליך ויעידו בך. ולא לפנינו אתה עומד, אלא לפני מי שאמר והיה העולם אתה עומד, שנאמר </w:t>
      </w:r>
      <w:r>
        <w:rPr>
          <w:rFonts w:hint="cs"/>
          <w:rtl/>
        </w:rPr>
        <w:t>'</w:t>
      </w:r>
      <w:r w:rsidRPr="00456CFC">
        <w:rPr>
          <w:rtl/>
        </w:rPr>
        <w:t>ועמדו שני האנשים אשר להם הריב וגו</w:t>
      </w:r>
      <w:r>
        <w:rPr>
          <w:rFonts w:hint="cs"/>
          <w:rtl/>
        </w:rPr>
        <w:t>'</w:t>
      </w:r>
      <w:r w:rsidRPr="00456CFC">
        <w:rPr>
          <w:rtl/>
        </w:rPr>
        <w:t xml:space="preserve">'. אמר לו: לא כשתאמר אתה, אלא </w:t>
      </w:r>
      <w:r>
        <w:rPr>
          <w:rtl/>
        </w:rPr>
        <w:t>כמה שיאמרו חבריך.</w:t>
      </w:r>
      <w:r w:rsidRPr="00456CFC">
        <w:rPr>
          <w:rtl/>
        </w:rPr>
        <w:t xml:space="preserve"> נפנה לימינו </w:t>
      </w:r>
      <w:r>
        <w:rPr>
          <w:rFonts w:hint="cs"/>
          <w:rtl/>
        </w:rPr>
        <w:t>–</w:t>
      </w:r>
      <w:r w:rsidRPr="00456CFC">
        <w:rPr>
          <w:rtl/>
        </w:rPr>
        <w:t xml:space="preserve"> כבשו פניהם בקרקע, נפנה לשמאלו </w:t>
      </w:r>
      <w:r>
        <w:rPr>
          <w:rFonts w:hint="cs"/>
          <w:rtl/>
        </w:rPr>
        <w:t>–</w:t>
      </w:r>
      <w:r w:rsidRPr="00456CFC">
        <w:rPr>
          <w:rtl/>
        </w:rPr>
        <w:t xml:space="preserve"> וכבשו פניהם בקרקע. אמר להן שמעון בן שטח: בעלי מחשבות אתם, יבא בעל מחשבות ויפרע מכם. מיד בא גבריאל וחבטן בקרקע, ומתו</w:t>
      </w:r>
      <w:r>
        <w:rPr>
          <w:rFonts w:hint="cs"/>
          <w:rtl/>
        </w:rPr>
        <w:t>.</w:t>
      </w:r>
      <w:r w:rsidRPr="00456CFC">
        <w:rPr>
          <w:rtl/>
        </w:rPr>
        <w:t xml:space="preserve"> באותה שעה אמרו: מלך לא דן ולא דנין אותו</w:t>
      </w:r>
      <w:r>
        <w:rPr>
          <w:rFonts w:hint="cs"/>
          <w:rtl/>
        </w:rPr>
        <w:t>,</w:t>
      </w:r>
      <w:r w:rsidRPr="00456CFC">
        <w:rPr>
          <w:rtl/>
        </w:rPr>
        <w:t xml:space="preserve"> לא מעיד ולא מעידין אותו</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3155" w14:textId="77777777" w:rsidR="00C52E82" w:rsidRDefault="00383D8E" w:rsidP="0073336C">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p w14:paraId="453574CA" w14:textId="7DCEB81D" w:rsidR="00383D8E" w:rsidRDefault="00383D8E" w:rsidP="0073336C"/>
  <w:p w14:paraId="36F09B1F" w14:textId="77777777" w:rsidR="00AB63F8" w:rsidRDefault="00AB63F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564B2EAB" w:rsidR="00383D8E" w:rsidRPr="006216C9" w:rsidRDefault="00C021A5" w:rsidP="0073336C">
          <w:pPr>
            <w:rPr>
              <w:rtl/>
            </w:rPr>
          </w:pPr>
          <w:r>
            <w:rPr>
              <w:rFonts w:hint="cs"/>
              <w:rtl/>
            </w:rPr>
            <w:t xml:space="preserve">עיונים </w:t>
          </w:r>
          <w:r w:rsidR="00E34668">
            <w:rPr>
              <w:rFonts w:hint="cs"/>
              <w:rtl/>
            </w:rPr>
            <w:t>במצוות בעקבות המנחת חינוך מאת הרב שמואל שמעוני</w:t>
          </w:r>
        </w:p>
      </w:tc>
      <w:tc>
        <w:tcPr>
          <w:tcW w:w="2976" w:type="dxa"/>
          <w:tcBorders>
            <w:bottom w:val="double" w:sz="4" w:space="0" w:color="auto"/>
          </w:tcBorders>
          <w:vAlign w:val="center"/>
        </w:tcPr>
        <w:p w14:paraId="7D40D3BB" w14:textId="0D991F74" w:rsidR="00383D8E" w:rsidRPr="006216C9" w:rsidRDefault="00000000" w:rsidP="0073336C">
          <w:pPr>
            <w:bidi w:val="0"/>
            <w:rPr>
              <w:sz w:val="22"/>
              <w:szCs w:val="22"/>
            </w:rPr>
          </w:pPr>
          <w:hyperlink r:id="rId1" w:tgtFrame="_blank" w:history="1">
            <w:r w:rsidR="00383D8E">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25C"/>
    <w:multiLevelType w:val="hybridMultilevel"/>
    <w:tmpl w:val="1DB4F87E"/>
    <w:lvl w:ilvl="0" w:tplc="A3883A7A">
      <w:start w:val="1"/>
      <w:numFmt w:val="hebrew1"/>
      <w:lvlText w:val="%1."/>
      <w:lvlJc w:val="left"/>
      <w:pPr>
        <w:ind w:left="360" w:hanging="360"/>
      </w:pPr>
      <w:rPr>
        <w:rFonts w:hint="default"/>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F94513"/>
    <w:multiLevelType w:val="hybridMultilevel"/>
    <w:tmpl w:val="938AC28A"/>
    <w:lvl w:ilvl="0" w:tplc="1CB832B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012B68"/>
    <w:multiLevelType w:val="hybridMultilevel"/>
    <w:tmpl w:val="54886FFA"/>
    <w:lvl w:ilvl="0" w:tplc="22DE1C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20929"/>
    <w:multiLevelType w:val="hybridMultilevel"/>
    <w:tmpl w:val="5C602B6E"/>
    <w:lvl w:ilvl="0" w:tplc="73B8FA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F3A35"/>
    <w:multiLevelType w:val="hybridMultilevel"/>
    <w:tmpl w:val="BDDC3516"/>
    <w:lvl w:ilvl="0" w:tplc="005651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E196F"/>
    <w:multiLevelType w:val="hybridMultilevel"/>
    <w:tmpl w:val="2A567E34"/>
    <w:lvl w:ilvl="0" w:tplc="89A03A6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A46AD"/>
    <w:multiLevelType w:val="hybridMultilevel"/>
    <w:tmpl w:val="175A6078"/>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870B95"/>
    <w:multiLevelType w:val="hybridMultilevel"/>
    <w:tmpl w:val="1C6E333A"/>
    <w:lvl w:ilvl="0" w:tplc="41A02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12D33"/>
    <w:multiLevelType w:val="hybridMultilevel"/>
    <w:tmpl w:val="EE88937A"/>
    <w:lvl w:ilvl="0" w:tplc="E0A4AE0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D95A0A"/>
    <w:multiLevelType w:val="hybridMultilevel"/>
    <w:tmpl w:val="9D3A43AA"/>
    <w:lvl w:ilvl="0" w:tplc="C36EE0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767E1"/>
    <w:multiLevelType w:val="hybridMultilevel"/>
    <w:tmpl w:val="1A7445AC"/>
    <w:lvl w:ilvl="0" w:tplc="2D5ED2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30D7C"/>
    <w:multiLevelType w:val="hybridMultilevel"/>
    <w:tmpl w:val="72EC5108"/>
    <w:lvl w:ilvl="0" w:tplc="F7F627CE">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496379B"/>
    <w:multiLevelType w:val="hybridMultilevel"/>
    <w:tmpl w:val="7070FFC4"/>
    <w:lvl w:ilvl="0" w:tplc="694C0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6D3DAE"/>
    <w:multiLevelType w:val="hybridMultilevel"/>
    <w:tmpl w:val="0D68A160"/>
    <w:lvl w:ilvl="0" w:tplc="567E89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06D40"/>
    <w:multiLevelType w:val="hybridMultilevel"/>
    <w:tmpl w:val="A47EE4FE"/>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1422B5"/>
    <w:multiLevelType w:val="hybridMultilevel"/>
    <w:tmpl w:val="E8D48E48"/>
    <w:lvl w:ilvl="0" w:tplc="E770761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B0FF8"/>
    <w:multiLevelType w:val="hybridMultilevel"/>
    <w:tmpl w:val="EF6A4EAE"/>
    <w:lvl w:ilvl="0" w:tplc="D17C326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2E3150"/>
    <w:multiLevelType w:val="hybridMultilevel"/>
    <w:tmpl w:val="BDCA93E4"/>
    <w:lvl w:ilvl="0" w:tplc="E66C46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648B6"/>
    <w:multiLevelType w:val="hybridMultilevel"/>
    <w:tmpl w:val="C23645BE"/>
    <w:lvl w:ilvl="0" w:tplc="0EC604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3803BB"/>
    <w:multiLevelType w:val="hybridMultilevel"/>
    <w:tmpl w:val="241A79BA"/>
    <w:lvl w:ilvl="0" w:tplc="1BD4EA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9F4CBB"/>
    <w:multiLevelType w:val="hybridMultilevel"/>
    <w:tmpl w:val="1F705B4A"/>
    <w:lvl w:ilvl="0" w:tplc="7C1A930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20C09B1"/>
    <w:multiLevelType w:val="hybridMultilevel"/>
    <w:tmpl w:val="D6F2BCEA"/>
    <w:lvl w:ilvl="0" w:tplc="0E3686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E56EAC"/>
    <w:multiLevelType w:val="hybridMultilevel"/>
    <w:tmpl w:val="B0621D2E"/>
    <w:lvl w:ilvl="0" w:tplc="B4CED6DC">
      <w:start w:val="1"/>
      <w:numFmt w:val="decimal"/>
      <w:lvlText w:val="%1."/>
      <w:lvlJc w:val="left"/>
      <w:pPr>
        <w:tabs>
          <w:tab w:val="num" w:pos="720"/>
        </w:tabs>
        <w:ind w:left="720" w:hanging="360"/>
      </w:pPr>
      <w:rPr>
        <w:rFonts w:hint="default"/>
        <w:lang w:val="en-US" w:bidi="he-I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F060FB"/>
    <w:multiLevelType w:val="hybridMultilevel"/>
    <w:tmpl w:val="CA8A974C"/>
    <w:lvl w:ilvl="0" w:tplc="6C3CC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FA20CA"/>
    <w:multiLevelType w:val="hybridMultilevel"/>
    <w:tmpl w:val="9B9AC866"/>
    <w:lvl w:ilvl="0" w:tplc="9474C3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6D32D1"/>
    <w:multiLevelType w:val="hybridMultilevel"/>
    <w:tmpl w:val="44329724"/>
    <w:lvl w:ilvl="0" w:tplc="60340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C277C4"/>
    <w:multiLevelType w:val="hybridMultilevel"/>
    <w:tmpl w:val="CC3243DA"/>
    <w:lvl w:ilvl="0" w:tplc="7EEA7E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185278"/>
    <w:multiLevelType w:val="hybridMultilevel"/>
    <w:tmpl w:val="D8E458A8"/>
    <w:lvl w:ilvl="0" w:tplc="89F29B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75701"/>
    <w:multiLevelType w:val="hybridMultilevel"/>
    <w:tmpl w:val="DFB00B64"/>
    <w:lvl w:ilvl="0" w:tplc="AEC2CDB2">
      <w:start w:val="1"/>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7E0648"/>
    <w:multiLevelType w:val="hybridMultilevel"/>
    <w:tmpl w:val="F510ED26"/>
    <w:lvl w:ilvl="0" w:tplc="516C32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A0A1F"/>
    <w:multiLevelType w:val="hybridMultilevel"/>
    <w:tmpl w:val="DA3CF3C6"/>
    <w:lvl w:ilvl="0" w:tplc="EA4C1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045BE8"/>
    <w:multiLevelType w:val="hybridMultilevel"/>
    <w:tmpl w:val="18A60F16"/>
    <w:lvl w:ilvl="0" w:tplc="2F4CE5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814AA5"/>
    <w:multiLevelType w:val="hybridMultilevel"/>
    <w:tmpl w:val="3FCE4744"/>
    <w:lvl w:ilvl="0" w:tplc="C86A11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031D22"/>
    <w:multiLevelType w:val="hybridMultilevel"/>
    <w:tmpl w:val="FE70B3F6"/>
    <w:lvl w:ilvl="0" w:tplc="E70AF83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2D1BFF"/>
    <w:multiLevelType w:val="hybridMultilevel"/>
    <w:tmpl w:val="1FDCA1BE"/>
    <w:lvl w:ilvl="0" w:tplc="3CC8293A">
      <w:start w:val="1"/>
      <w:numFmt w:val="decimal"/>
      <w:lvlText w:val="%1)"/>
      <w:lvlJc w:val="left"/>
      <w:pPr>
        <w:ind w:left="520" w:hanging="360"/>
      </w:pPr>
      <w:rPr>
        <w:rFonts w:cs="Arial"/>
      </w:rPr>
    </w:lvl>
    <w:lvl w:ilvl="1" w:tplc="04090019">
      <w:start w:val="1"/>
      <w:numFmt w:val="lowerLetter"/>
      <w:lvlText w:val="%2."/>
      <w:lvlJc w:val="left"/>
      <w:pPr>
        <w:ind w:left="1240" w:hanging="360"/>
      </w:p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start w:val="1"/>
      <w:numFmt w:val="lowerLetter"/>
      <w:lvlText w:val="%5."/>
      <w:lvlJc w:val="left"/>
      <w:pPr>
        <w:ind w:left="3400" w:hanging="360"/>
      </w:pPr>
    </w:lvl>
    <w:lvl w:ilvl="5" w:tplc="0409001B">
      <w:start w:val="1"/>
      <w:numFmt w:val="lowerRoman"/>
      <w:lvlText w:val="%6."/>
      <w:lvlJc w:val="right"/>
      <w:pPr>
        <w:ind w:left="4120" w:hanging="180"/>
      </w:pPr>
    </w:lvl>
    <w:lvl w:ilvl="6" w:tplc="0409000F">
      <w:start w:val="1"/>
      <w:numFmt w:val="decimal"/>
      <w:lvlText w:val="%7."/>
      <w:lvlJc w:val="left"/>
      <w:pPr>
        <w:ind w:left="4840" w:hanging="360"/>
      </w:pPr>
    </w:lvl>
    <w:lvl w:ilvl="7" w:tplc="04090019">
      <w:start w:val="1"/>
      <w:numFmt w:val="lowerLetter"/>
      <w:lvlText w:val="%8."/>
      <w:lvlJc w:val="left"/>
      <w:pPr>
        <w:ind w:left="5560" w:hanging="360"/>
      </w:pPr>
    </w:lvl>
    <w:lvl w:ilvl="8" w:tplc="0409001B">
      <w:start w:val="1"/>
      <w:numFmt w:val="lowerRoman"/>
      <w:lvlText w:val="%9."/>
      <w:lvlJc w:val="right"/>
      <w:pPr>
        <w:ind w:left="6280" w:hanging="180"/>
      </w:pPr>
    </w:lvl>
  </w:abstractNum>
  <w:abstractNum w:abstractNumId="35" w15:restartNumberingAfterBreak="0">
    <w:nsid w:val="79E17E6C"/>
    <w:multiLevelType w:val="hybridMultilevel"/>
    <w:tmpl w:val="C99010BA"/>
    <w:lvl w:ilvl="0" w:tplc="E50A3FBE">
      <w:start w:val="1"/>
      <w:numFmt w:val="hebrew1"/>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301DC9"/>
    <w:multiLevelType w:val="hybridMultilevel"/>
    <w:tmpl w:val="42D8A856"/>
    <w:lvl w:ilvl="0" w:tplc="7938BE2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6D2B7D"/>
    <w:multiLevelType w:val="hybridMultilevel"/>
    <w:tmpl w:val="0D863CF8"/>
    <w:lvl w:ilvl="0" w:tplc="412A7328">
      <w:start w:val="1"/>
      <w:numFmt w:val="hebrew1"/>
      <w:lvlText w:val="%1."/>
      <w:lvlJc w:val="left"/>
      <w:pPr>
        <w:ind w:left="720" w:hanging="360"/>
      </w:pPr>
      <w:rPr>
        <w:rFonts w:hint="default"/>
        <w:sz w:val="24"/>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057805">
    <w:abstractNumId w:val="18"/>
  </w:num>
  <w:num w:numId="2" w16cid:durableId="1468352086">
    <w:abstractNumId w:val="13"/>
  </w:num>
  <w:num w:numId="3" w16cid:durableId="153424326">
    <w:abstractNumId w:val="20"/>
  </w:num>
  <w:num w:numId="4" w16cid:durableId="364327629">
    <w:abstractNumId w:val="11"/>
  </w:num>
  <w:num w:numId="5" w16cid:durableId="12722029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9358683">
    <w:abstractNumId w:val="30"/>
  </w:num>
  <w:num w:numId="7" w16cid:durableId="213397309">
    <w:abstractNumId w:val="28"/>
  </w:num>
  <w:num w:numId="8" w16cid:durableId="1528178987">
    <w:abstractNumId w:val="10"/>
  </w:num>
  <w:num w:numId="9" w16cid:durableId="96871540">
    <w:abstractNumId w:val="4"/>
  </w:num>
  <w:num w:numId="10" w16cid:durableId="1462114829">
    <w:abstractNumId w:val="21"/>
  </w:num>
  <w:num w:numId="11" w16cid:durableId="20296706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0716439">
    <w:abstractNumId w:val="22"/>
  </w:num>
  <w:num w:numId="13" w16cid:durableId="1785688986">
    <w:abstractNumId w:val="25"/>
  </w:num>
  <w:num w:numId="14" w16cid:durableId="1765957454">
    <w:abstractNumId w:val="15"/>
  </w:num>
  <w:num w:numId="15" w16cid:durableId="511725753">
    <w:abstractNumId w:val="24"/>
  </w:num>
  <w:num w:numId="16" w16cid:durableId="792988553">
    <w:abstractNumId w:val="35"/>
  </w:num>
  <w:num w:numId="17" w16cid:durableId="697782907">
    <w:abstractNumId w:val="17"/>
  </w:num>
  <w:num w:numId="18" w16cid:durableId="37363191">
    <w:abstractNumId w:val="23"/>
  </w:num>
  <w:num w:numId="19" w16cid:durableId="1107236762">
    <w:abstractNumId w:val="19"/>
  </w:num>
  <w:num w:numId="20" w16cid:durableId="780606052">
    <w:abstractNumId w:val="7"/>
  </w:num>
  <w:num w:numId="21" w16cid:durableId="1712221339">
    <w:abstractNumId w:val="5"/>
  </w:num>
  <w:num w:numId="22" w16cid:durableId="454374711">
    <w:abstractNumId w:val="2"/>
  </w:num>
  <w:num w:numId="23" w16cid:durableId="717781376">
    <w:abstractNumId w:val="0"/>
  </w:num>
  <w:num w:numId="24" w16cid:durableId="26686172">
    <w:abstractNumId w:val="37"/>
  </w:num>
  <w:num w:numId="25" w16cid:durableId="910458530">
    <w:abstractNumId w:val="33"/>
  </w:num>
  <w:num w:numId="26" w16cid:durableId="1300570656">
    <w:abstractNumId w:val="16"/>
  </w:num>
  <w:num w:numId="27" w16cid:durableId="559943378">
    <w:abstractNumId w:val="1"/>
  </w:num>
  <w:num w:numId="28" w16cid:durableId="736128408">
    <w:abstractNumId w:val="6"/>
  </w:num>
  <w:num w:numId="29" w16cid:durableId="1643538468">
    <w:abstractNumId w:val="29"/>
  </w:num>
  <w:num w:numId="30" w16cid:durableId="1743093136">
    <w:abstractNumId w:val="14"/>
  </w:num>
  <w:num w:numId="31" w16cid:durableId="731081409">
    <w:abstractNumId w:val="12"/>
  </w:num>
  <w:num w:numId="32" w16cid:durableId="987632398">
    <w:abstractNumId w:val="27"/>
  </w:num>
  <w:num w:numId="33" w16cid:durableId="20131771">
    <w:abstractNumId w:val="26"/>
  </w:num>
  <w:num w:numId="34" w16cid:durableId="363558864">
    <w:abstractNumId w:val="3"/>
  </w:num>
  <w:num w:numId="35" w16cid:durableId="1533883136">
    <w:abstractNumId w:val="36"/>
  </w:num>
  <w:num w:numId="36" w16cid:durableId="1126004982">
    <w:abstractNumId w:val="31"/>
  </w:num>
  <w:num w:numId="37" w16cid:durableId="696154025">
    <w:abstractNumId w:val="9"/>
  </w:num>
  <w:num w:numId="38" w16cid:durableId="127540716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5269"/>
    <w:rsid w:val="00035EA1"/>
    <w:rsid w:val="000364D6"/>
    <w:rsid w:val="00036B8C"/>
    <w:rsid w:val="00036BE2"/>
    <w:rsid w:val="00036E61"/>
    <w:rsid w:val="000375B9"/>
    <w:rsid w:val="00037629"/>
    <w:rsid w:val="0003772F"/>
    <w:rsid w:val="000377E2"/>
    <w:rsid w:val="00037A1F"/>
    <w:rsid w:val="00037FA3"/>
    <w:rsid w:val="000400D8"/>
    <w:rsid w:val="00040174"/>
    <w:rsid w:val="000408DD"/>
    <w:rsid w:val="00040A12"/>
    <w:rsid w:val="00041804"/>
    <w:rsid w:val="00041869"/>
    <w:rsid w:val="00042703"/>
    <w:rsid w:val="00042D3C"/>
    <w:rsid w:val="000438EA"/>
    <w:rsid w:val="00043D16"/>
    <w:rsid w:val="00043F83"/>
    <w:rsid w:val="00044601"/>
    <w:rsid w:val="00044987"/>
    <w:rsid w:val="00044B44"/>
    <w:rsid w:val="00045597"/>
    <w:rsid w:val="000458C3"/>
    <w:rsid w:val="00045AFC"/>
    <w:rsid w:val="00045FFC"/>
    <w:rsid w:val="0004674C"/>
    <w:rsid w:val="00046783"/>
    <w:rsid w:val="0004723C"/>
    <w:rsid w:val="00047508"/>
    <w:rsid w:val="000478F5"/>
    <w:rsid w:val="0004794C"/>
    <w:rsid w:val="00047989"/>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8A6"/>
    <w:rsid w:val="000946A9"/>
    <w:rsid w:val="000947E3"/>
    <w:rsid w:val="00094D58"/>
    <w:rsid w:val="000950F7"/>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BE6"/>
    <w:rsid w:val="000A2335"/>
    <w:rsid w:val="000A299B"/>
    <w:rsid w:val="000A29F0"/>
    <w:rsid w:val="000A2B9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5706"/>
    <w:rsid w:val="000C5994"/>
    <w:rsid w:val="000C5EDE"/>
    <w:rsid w:val="000C603C"/>
    <w:rsid w:val="000C68DA"/>
    <w:rsid w:val="000C72E8"/>
    <w:rsid w:val="000C7ABE"/>
    <w:rsid w:val="000D0674"/>
    <w:rsid w:val="000D14EE"/>
    <w:rsid w:val="000D150D"/>
    <w:rsid w:val="000D1922"/>
    <w:rsid w:val="000D1A07"/>
    <w:rsid w:val="000D1FCF"/>
    <w:rsid w:val="000D25BF"/>
    <w:rsid w:val="000D2B2E"/>
    <w:rsid w:val="000D2F68"/>
    <w:rsid w:val="000D37FF"/>
    <w:rsid w:val="000D4092"/>
    <w:rsid w:val="000D4260"/>
    <w:rsid w:val="000D477B"/>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7AF5"/>
    <w:rsid w:val="000E7DFD"/>
    <w:rsid w:val="000F001B"/>
    <w:rsid w:val="000F0C93"/>
    <w:rsid w:val="000F101A"/>
    <w:rsid w:val="000F103D"/>
    <w:rsid w:val="000F11F5"/>
    <w:rsid w:val="000F1925"/>
    <w:rsid w:val="000F221D"/>
    <w:rsid w:val="000F2798"/>
    <w:rsid w:val="000F2BCE"/>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81D"/>
    <w:rsid w:val="00166DEB"/>
    <w:rsid w:val="0016736E"/>
    <w:rsid w:val="00167D80"/>
    <w:rsid w:val="00167F8B"/>
    <w:rsid w:val="001706D4"/>
    <w:rsid w:val="00170D44"/>
    <w:rsid w:val="00171247"/>
    <w:rsid w:val="00171576"/>
    <w:rsid w:val="00171C9D"/>
    <w:rsid w:val="00171CC0"/>
    <w:rsid w:val="00171D97"/>
    <w:rsid w:val="00171E95"/>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805CD"/>
    <w:rsid w:val="00180612"/>
    <w:rsid w:val="00180DA2"/>
    <w:rsid w:val="001813BE"/>
    <w:rsid w:val="001815E5"/>
    <w:rsid w:val="001817D3"/>
    <w:rsid w:val="001820F1"/>
    <w:rsid w:val="0018271C"/>
    <w:rsid w:val="00182AC1"/>
    <w:rsid w:val="00183034"/>
    <w:rsid w:val="00183357"/>
    <w:rsid w:val="0018454C"/>
    <w:rsid w:val="00184894"/>
    <w:rsid w:val="00184904"/>
    <w:rsid w:val="00184CAE"/>
    <w:rsid w:val="001852B1"/>
    <w:rsid w:val="001855A8"/>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A6"/>
    <w:rsid w:val="00192DB2"/>
    <w:rsid w:val="00192DC1"/>
    <w:rsid w:val="001935D9"/>
    <w:rsid w:val="001936FE"/>
    <w:rsid w:val="00193CD9"/>
    <w:rsid w:val="00194892"/>
    <w:rsid w:val="00194978"/>
    <w:rsid w:val="00195522"/>
    <w:rsid w:val="00195C58"/>
    <w:rsid w:val="00196248"/>
    <w:rsid w:val="001973E1"/>
    <w:rsid w:val="001975C9"/>
    <w:rsid w:val="0019793E"/>
    <w:rsid w:val="00197C40"/>
    <w:rsid w:val="001A00CF"/>
    <w:rsid w:val="001A0830"/>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573"/>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69A"/>
    <w:rsid w:val="001C39E7"/>
    <w:rsid w:val="001C3E1D"/>
    <w:rsid w:val="001C4367"/>
    <w:rsid w:val="001C4473"/>
    <w:rsid w:val="001C4940"/>
    <w:rsid w:val="001C4B5E"/>
    <w:rsid w:val="001C4E63"/>
    <w:rsid w:val="001C5547"/>
    <w:rsid w:val="001C6018"/>
    <w:rsid w:val="001C651D"/>
    <w:rsid w:val="001C6C39"/>
    <w:rsid w:val="001C6C43"/>
    <w:rsid w:val="001C760B"/>
    <w:rsid w:val="001C79F8"/>
    <w:rsid w:val="001C7CC2"/>
    <w:rsid w:val="001C7D9B"/>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9AA"/>
    <w:rsid w:val="0023346F"/>
    <w:rsid w:val="002338A7"/>
    <w:rsid w:val="002338D0"/>
    <w:rsid w:val="00233E7F"/>
    <w:rsid w:val="0023423C"/>
    <w:rsid w:val="0023425B"/>
    <w:rsid w:val="0023445E"/>
    <w:rsid w:val="002345BB"/>
    <w:rsid w:val="00234E64"/>
    <w:rsid w:val="00235140"/>
    <w:rsid w:val="00235231"/>
    <w:rsid w:val="00235575"/>
    <w:rsid w:val="00235EBF"/>
    <w:rsid w:val="0023606A"/>
    <w:rsid w:val="002361FE"/>
    <w:rsid w:val="00236873"/>
    <w:rsid w:val="00237A75"/>
    <w:rsid w:val="00237DDF"/>
    <w:rsid w:val="00240462"/>
    <w:rsid w:val="0024099E"/>
    <w:rsid w:val="00240E7F"/>
    <w:rsid w:val="00241B7B"/>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4151"/>
    <w:rsid w:val="00284937"/>
    <w:rsid w:val="00284E60"/>
    <w:rsid w:val="00285155"/>
    <w:rsid w:val="00287DD3"/>
    <w:rsid w:val="00290596"/>
    <w:rsid w:val="00290BF9"/>
    <w:rsid w:val="00291820"/>
    <w:rsid w:val="00291A14"/>
    <w:rsid w:val="00291DC9"/>
    <w:rsid w:val="00291F3D"/>
    <w:rsid w:val="002923BC"/>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6099"/>
    <w:rsid w:val="002A6365"/>
    <w:rsid w:val="002A6665"/>
    <w:rsid w:val="002A687D"/>
    <w:rsid w:val="002A6A8D"/>
    <w:rsid w:val="002A6E6F"/>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6A9"/>
    <w:rsid w:val="002E784F"/>
    <w:rsid w:val="002E7B94"/>
    <w:rsid w:val="002E7C2D"/>
    <w:rsid w:val="002E7CD9"/>
    <w:rsid w:val="002F0432"/>
    <w:rsid w:val="002F1329"/>
    <w:rsid w:val="002F132B"/>
    <w:rsid w:val="002F17D3"/>
    <w:rsid w:val="002F1F2E"/>
    <w:rsid w:val="002F24BC"/>
    <w:rsid w:val="002F2680"/>
    <w:rsid w:val="002F2769"/>
    <w:rsid w:val="002F2866"/>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8B9"/>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595A"/>
    <w:rsid w:val="00355FEB"/>
    <w:rsid w:val="0035603C"/>
    <w:rsid w:val="00356341"/>
    <w:rsid w:val="00357CA1"/>
    <w:rsid w:val="0036005C"/>
    <w:rsid w:val="00360F29"/>
    <w:rsid w:val="00361342"/>
    <w:rsid w:val="003615D0"/>
    <w:rsid w:val="00361AE6"/>
    <w:rsid w:val="00362073"/>
    <w:rsid w:val="00362608"/>
    <w:rsid w:val="003632C6"/>
    <w:rsid w:val="0036343A"/>
    <w:rsid w:val="00363AD3"/>
    <w:rsid w:val="0036404B"/>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3064"/>
    <w:rsid w:val="00373675"/>
    <w:rsid w:val="00374472"/>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CC7"/>
    <w:rsid w:val="00424F92"/>
    <w:rsid w:val="00425031"/>
    <w:rsid w:val="0042578D"/>
    <w:rsid w:val="00426110"/>
    <w:rsid w:val="004269A5"/>
    <w:rsid w:val="00426A92"/>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2A45"/>
    <w:rsid w:val="00472B45"/>
    <w:rsid w:val="004734AB"/>
    <w:rsid w:val="00473531"/>
    <w:rsid w:val="0047458B"/>
    <w:rsid w:val="00474B15"/>
    <w:rsid w:val="00475005"/>
    <w:rsid w:val="004752AE"/>
    <w:rsid w:val="00475741"/>
    <w:rsid w:val="004759FF"/>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7AF8"/>
    <w:rsid w:val="004A7C4B"/>
    <w:rsid w:val="004B01A9"/>
    <w:rsid w:val="004B0420"/>
    <w:rsid w:val="004B0481"/>
    <w:rsid w:val="004B083A"/>
    <w:rsid w:val="004B0B1E"/>
    <w:rsid w:val="004B197A"/>
    <w:rsid w:val="004B1B28"/>
    <w:rsid w:val="004B3339"/>
    <w:rsid w:val="004B34E9"/>
    <w:rsid w:val="004B361D"/>
    <w:rsid w:val="004B389D"/>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E51"/>
    <w:rsid w:val="004E1E71"/>
    <w:rsid w:val="004E1F67"/>
    <w:rsid w:val="004E255F"/>
    <w:rsid w:val="004E2615"/>
    <w:rsid w:val="004E27A0"/>
    <w:rsid w:val="004E2B95"/>
    <w:rsid w:val="004E2F07"/>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F4B"/>
    <w:rsid w:val="005012A1"/>
    <w:rsid w:val="00501D6C"/>
    <w:rsid w:val="00502223"/>
    <w:rsid w:val="0050299F"/>
    <w:rsid w:val="00502A52"/>
    <w:rsid w:val="00502E3C"/>
    <w:rsid w:val="00503344"/>
    <w:rsid w:val="00503A0C"/>
    <w:rsid w:val="00503F9E"/>
    <w:rsid w:val="0050439B"/>
    <w:rsid w:val="005048D0"/>
    <w:rsid w:val="00504921"/>
    <w:rsid w:val="00504931"/>
    <w:rsid w:val="00505D0A"/>
    <w:rsid w:val="00505FCC"/>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D7"/>
    <w:rsid w:val="00540D26"/>
    <w:rsid w:val="005411D3"/>
    <w:rsid w:val="00541232"/>
    <w:rsid w:val="00542578"/>
    <w:rsid w:val="005427CB"/>
    <w:rsid w:val="00542B09"/>
    <w:rsid w:val="00543387"/>
    <w:rsid w:val="00543770"/>
    <w:rsid w:val="00544477"/>
    <w:rsid w:val="00545076"/>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EDB"/>
    <w:rsid w:val="005964B2"/>
    <w:rsid w:val="00596B89"/>
    <w:rsid w:val="005970EF"/>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DB3"/>
    <w:rsid w:val="005A3F0A"/>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6015"/>
    <w:rsid w:val="005C63D1"/>
    <w:rsid w:val="005C6825"/>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B3E"/>
    <w:rsid w:val="006310F4"/>
    <w:rsid w:val="006311B8"/>
    <w:rsid w:val="00631A00"/>
    <w:rsid w:val="00631FE6"/>
    <w:rsid w:val="00632576"/>
    <w:rsid w:val="0063297E"/>
    <w:rsid w:val="00632DE8"/>
    <w:rsid w:val="006338DA"/>
    <w:rsid w:val="00633ACA"/>
    <w:rsid w:val="00634112"/>
    <w:rsid w:val="0063413D"/>
    <w:rsid w:val="0063470C"/>
    <w:rsid w:val="00634DEC"/>
    <w:rsid w:val="00634E23"/>
    <w:rsid w:val="00635510"/>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62C"/>
    <w:rsid w:val="0067202B"/>
    <w:rsid w:val="0067261B"/>
    <w:rsid w:val="00673031"/>
    <w:rsid w:val="0067304C"/>
    <w:rsid w:val="00673454"/>
    <w:rsid w:val="0067354D"/>
    <w:rsid w:val="00673CDB"/>
    <w:rsid w:val="00674390"/>
    <w:rsid w:val="006743E9"/>
    <w:rsid w:val="006749E6"/>
    <w:rsid w:val="00674C6D"/>
    <w:rsid w:val="00674EA6"/>
    <w:rsid w:val="0067543A"/>
    <w:rsid w:val="006758D7"/>
    <w:rsid w:val="00675933"/>
    <w:rsid w:val="00676197"/>
    <w:rsid w:val="0067675D"/>
    <w:rsid w:val="00676900"/>
    <w:rsid w:val="00676978"/>
    <w:rsid w:val="00676DC2"/>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E71"/>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C5C"/>
    <w:rsid w:val="006D0E11"/>
    <w:rsid w:val="006D0F58"/>
    <w:rsid w:val="006D128F"/>
    <w:rsid w:val="006D1351"/>
    <w:rsid w:val="006D1B37"/>
    <w:rsid w:val="006D1D01"/>
    <w:rsid w:val="006D20E4"/>
    <w:rsid w:val="006D237B"/>
    <w:rsid w:val="006D2844"/>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A"/>
    <w:rsid w:val="006F6FCB"/>
    <w:rsid w:val="006F77DB"/>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FEE"/>
    <w:rsid w:val="007110CC"/>
    <w:rsid w:val="00711334"/>
    <w:rsid w:val="0071138A"/>
    <w:rsid w:val="007115F7"/>
    <w:rsid w:val="0071298C"/>
    <w:rsid w:val="007133DD"/>
    <w:rsid w:val="00713F43"/>
    <w:rsid w:val="00714219"/>
    <w:rsid w:val="007142D3"/>
    <w:rsid w:val="0071439C"/>
    <w:rsid w:val="007150C5"/>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8005FE"/>
    <w:rsid w:val="00800A47"/>
    <w:rsid w:val="00800B4C"/>
    <w:rsid w:val="0080123F"/>
    <w:rsid w:val="008015F8"/>
    <w:rsid w:val="00801EBB"/>
    <w:rsid w:val="008027BF"/>
    <w:rsid w:val="00802853"/>
    <w:rsid w:val="0080341E"/>
    <w:rsid w:val="008034B8"/>
    <w:rsid w:val="00803522"/>
    <w:rsid w:val="00803C30"/>
    <w:rsid w:val="00804079"/>
    <w:rsid w:val="008048F2"/>
    <w:rsid w:val="00804B3F"/>
    <w:rsid w:val="00804F14"/>
    <w:rsid w:val="0080604D"/>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5E2E"/>
    <w:rsid w:val="00816533"/>
    <w:rsid w:val="00816EBF"/>
    <w:rsid w:val="008178AC"/>
    <w:rsid w:val="00820600"/>
    <w:rsid w:val="00820E72"/>
    <w:rsid w:val="00821BA9"/>
    <w:rsid w:val="00821E6F"/>
    <w:rsid w:val="008223DB"/>
    <w:rsid w:val="00823240"/>
    <w:rsid w:val="00823521"/>
    <w:rsid w:val="00823E41"/>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103"/>
    <w:rsid w:val="00846649"/>
    <w:rsid w:val="008503A4"/>
    <w:rsid w:val="00850E4B"/>
    <w:rsid w:val="00850F96"/>
    <w:rsid w:val="00850F9B"/>
    <w:rsid w:val="008515C7"/>
    <w:rsid w:val="008522AE"/>
    <w:rsid w:val="008526DC"/>
    <w:rsid w:val="00852F0B"/>
    <w:rsid w:val="00853097"/>
    <w:rsid w:val="0085407D"/>
    <w:rsid w:val="008540B5"/>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95D"/>
    <w:rsid w:val="008909DC"/>
    <w:rsid w:val="0089145F"/>
    <w:rsid w:val="0089166E"/>
    <w:rsid w:val="00891CB0"/>
    <w:rsid w:val="00891E64"/>
    <w:rsid w:val="008923DE"/>
    <w:rsid w:val="00892505"/>
    <w:rsid w:val="00892E10"/>
    <w:rsid w:val="00892F40"/>
    <w:rsid w:val="008930AA"/>
    <w:rsid w:val="00893F01"/>
    <w:rsid w:val="00893FB1"/>
    <w:rsid w:val="00894092"/>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CB8"/>
    <w:rsid w:val="008A35A2"/>
    <w:rsid w:val="008A35DD"/>
    <w:rsid w:val="008A37C4"/>
    <w:rsid w:val="008A425C"/>
    <w:rsid w:val="008A4672"/>
    <w:rsid w:val="008A4ABB"/>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D9E"/>
    <w:rsid w:val="00974268"/>
    <w:rsid w:val="00974717"/>
    <w:rsid w:val="009749D3"/>
    <w:rsid w:val="009753D3"/>
    <w:rsid w:val="009757AF"/>
    <w:rsid w:val="00975ABA"/>
    <w:rsid w:val="00975BED"/>
    <w:rsid w:val="00975FDB"/>
    <w:rsid w:val="009760D7"/>
    <w:rsid w:val="009769CF"/>
    <w:rsid w:val="00980596"/>
    <w:rsid w:val="009808E9"/>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F40"/>
    <w:rsid w:val="00990213"/>
    <w:rsid w:val="00990366"/>
    <w:rsid w:val="009907A4"/>
    <w:rsid w:val="009907C0"/>
    <w:rsid w:val="00991551"/>
    <w:rsid w:val="0099229A"/>
    <w:rsid w:val="00992343"/>
    <w:rsid w:val="00992438"/>
    <w:rsid w:val="00992481"/>
    <w:rsid w:val="009929C4"/>
    <w:rsid w:val="00992C7B"/>
    <w:rsid w:val="00992CBA"/>
    <w:rsid w:val="009934D5"/>
    <w:rsid w:val="00993AAC"/>
    <w:rsid w:val="00993D24"/>
    <w:rsid w:val="00994144"/>
    <w:rsid w:val="00994377"/>
    <w:rsid w:val="00994BC4"/>
    <w:rsid w:val="00994F6B"/>
    <w:rsid w:val="0099519E"/>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23D"/>
    <w:rsid w:val="009B7732"/>
    <w:rsid w:val="009C05B5"/>
    <w:rsid w:val="009C06F1"/>
    <w:rsid w:val="009C07AD"/>
    <w:rsid w:val="009C094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5A7"/>
    <w:rsid w:val="00A47B1D"/>
    <w:rsid w:val="00A501D9"/>
    <w:rsid w:val="00A5048D"/>
    <w:rsid w:val="00A5056E"/>
    <w:rsid w:val="00A50872"/>
    <w:rsid w:val="00A5098E"/>
    <w:rsid w:val="00A50DBB"/>
    <w:rsid w:val="00A50E32"/>
    <w:rsid w:val="00A510E5"/>
    <w:rsid w:val="00A511D1"/>
    <w:rsid w:val="00A51A07"/>
    <w:rsid w:val="00A51BE8"/>
    <w:rsid w:val="00A52DF1"/>
    <w:rsid w:val="00A53240"/>
    <w:rsid w:val="00A53410"/>
    <w:rsid w:val="00A53694"/>
    <w:rsid w:val="00A53716"/>
    <w:rsid w:val="00A53973"/>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E2"/>
    <w:rsid w:val="00A82206"/>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8FF"/>
    <w:rsid w:val="00A87B1E"/>
    <w:rsid w:val="00A87DE8"/>
    <w:rsid w:val="00A901F5"/>
    <w:rsid w:val="00A9035B"/>
    <w:rsid w:val="00A90A4A"/>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37C1"/>
    <w:rsid w:val="00AB39B7"/>
    <w:rsid w:val="00AB3A71"/>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41C"/>
    <w:rsid w:val="00AC6503"/>
    <w:rsid w:val="00AC674F"/>
    <w:rsid w:val="00AC6903"/>
    <w:rsid w:val="00AC6DB7"/>
    <w:rsid w:val="00AC6FB6"/>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F0324"/>
    <w:rsid w:val="00AF0DFC"/>
    <w:rsid w:val="00AF0E69"/>
    <w:rsid w:val="00AF0F96"/>
    <w:rsid w:val="00AF162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50A"/>
    <w:rsid w:val="00B5567F"/>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A50"/>
    <w:rsid w:val="00B66BAE"/>
    <w:rsid w:val="00B6712E"/>
    <w:rsid w:val="00B67BC9"/>
    <w:rsid w:val="00B70522"/>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8C2"/>
    <w:rsid w:val="00B77DC6"/>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4479"/>
    <w:rsid w:val="00C145CE"/>
    <w:rsid w:val="00C14C0C"/>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9C5"/>
    <w:rsid w:val="00C34ADB"/>
    <w:rsid w:val="00C352DC"/>
    <w:rsid w:val="00C354A3"/>
    <w:rsid w:val="00C35C25"/>
    <w:rsid w:val="00C36506"/>
    <w:rsid w:val="00C367B2"/>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2156"/>
    <w:rsid w:val="00C52AB6"/>
    <w:rsid w:val="00C52E82"/>
    <w:rsid w:val="00C5306B"/>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9A0"/>
    <w:rsid w:val="00CB49A1"/>
    <w:rsid w:val="00CB4F2C"/>
    <w:rsid w:val="00CB57A1"/>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130A"/>
    <w:rsid w:val="00CE17AE"/>
    <w:rsid w:val="00CE1A57"/>
    <w:rsid w:val="00CE1E5F"/>
    <w:rsid w:val="00CE1E7E"/>
    <w:rsid w:val="00CE1F88"/>
    <w:rsid w:val="00CE25B9"/>
    <w:rsid w:val="00CE25DC"/>
    <w:rsid w:val="00CE266A"/>
    <w:rsid w:val="00CE2AB3"/>
    <w:rsid w:val="00CE2C11"/>
    <w:rsid w:val="00CE2C48"/>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4AA"/>
    <w:rsid w:val="00CF39C7"/>
    <w:rsid w:val="00CF3A71"/>
    <w:rsid w:val="00CF3C69"/>
    <w:rsid w:val="00CF4C97"/>
    <w:rsid w:val="00CF4D52"/>
    <w:rsid w:val="00CF4F7F"/>
    <w:rsid w:val="00CF5DB2"/>
    <w:rsid w:val="00CF61C4"/>
    <w:rsid w:val="00CF625E"/>
    <w:rsid w:val="00CF67A5"/>
    <w:rsid w:val="00CF6950"/>
    <w:rsid w:val="00CF6EBB"/>
    <w:rsid w:val="00CF7360"/>
    <w:rsid w:val="00CF7643"/>
    <w:rsid w:val="00D00085"/>
    <w:rsid w:val="00D00796"/>
    <w:rsid w:val="00D00A6C"/>
    <w:rsid w:val="00D00D36"/>
    <w:rsid w:val="00D0137B"/>
    <w:rsid w:val="00D0142C"/>
    <w:rsid w:val="00D017C2"/>
    <w:rsid w:val="00D02643"/>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8F7"/>
    <w:rsid w:val="00D05C69"/>
    <w:rsid w:val="00D06E8D"/>
    <w:rsid w:val="00D06ED4"/>
    <w:rsid w:val="00D0716C"/>
    <w:rsid w:val="00D078A3"/>
    <w:rsid w:val="00D07DAB"/>
    <w:rsid w:val="00D105FD"/>
    <w:rsid w:val="00D1073B"/>
    <w:rsid w:val="00D10B8A"/>
    <w:rsid w:val="00D10F8E"/>
    <w:rsid w:val="00D110FA"/>
    <w:rsid w:val="00D11461"/>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CEA"/>
    <w:rsid w:val="00D31DD7"/>
    <w:rsid w:val="00D31DEC"/>
    <w:rsid w:val="00D31F2B"/>
    <w:rsid w:val="00D322E2"/>
    <w:rsid w:val="00D32322"/>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B07"/>
    <w:rsid w:val="00D462D3"/>
    <w:rsid w:val="00D467AF"/>
    <w:rsid w:val="00D46CCB"/>
    <w:rsid w:val="00D47963"/>
    <w:rsid w:val="00D47C09"/>
    <w:rsid w:val="00D47C2E"/>
    <w:rsid w:val="00D47C2F"/>
    <w:rsid w:val="00D50409"/>
    <w:rsid w:val="00D50419"/>
    <w:rsid w:val="00D51452"/>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B09"/>
    <w:rsid w:val="00D6008A"/>
    <w:rsid w:val="00D60177"/>
    <w:rsid w:val="00D605F5"/>
    <w:rsid w:val="00D61AEB"/>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18D5"/>
    <w:rsid w:val="00D81A59"/>
    <w:rsid w:val="00D81C2C"/>
    <w:rsid w:val="00D82691"/>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3018"/>
    <w:rsid w:val="00D93219"/>
    <w:rsid w:val="00D93C48"/>
    <w:rsid w:val="00D944E5"/>
    <w:rsid w:val="00D945F9"/>
    <w:rsid w:val="00D94675"/>
    <w:rsid w:val="00D951B2"/>
    <w:rsid w:val="00D9581C"/>
    <w:rsid w:val="00D95DCD"/>
    <w:rsid w:val="00D9632B"/>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B9"/>
    <w:rsid w:val="00DA2530"/>
    <w:rsid w:val="00DA36C1"/>
    <w:rsid w:val="00DA46C4"/>
    <w:rsid w:val="00DA496B"/>
    <w:rsid w:val="00DA5318"/>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C5F"/>
    <w:rsid w:val="00DE7274"/>
    <w:rsid w:val="00DE73FF"/>
    <w:rsid w:val="00DE7A44"/>
    <w:rsid w:val="00DE7AC8"/>
    <w:rsid w:val="00DF0E44"/>
    <w:rsid w:val="00DF1B8F"/>
    <w:rsid w:val="00DF1D65"/>
    <w:rsid w:val="00DF22BF"/>
    <w:rsid w:val="00DF2498"/>
    <w:rsid w:val="00DF2C4B"/>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50AA"/>
    <w:rsid w:val="00E15ABA"/>
    <w:rsid w:val="00E17319"/>
    <w:rsid w:val="00E1762D"/>
    <w:rsid w:val="00E17D16"/>
    <w:rsid w:val="00E17E55"/>
    <w:rsid w:val="00E2007B"/>
    <w:rsid w:val="00E21370"/>
    <w:rsid w:val="00E214E6"/>
    <w:rsid w:val="00E216C4"/>
    <w:rsid w:val="00E21BBD"/>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6687"/>
    <w:rsid w:val="00E36980"/>
    <w:rsid w:val="00E36AB8"/>
    <w:rsid w:val="00E3794F"/>
    <w:rsid w:val="00E405B6"/>
    <w:rsid w:val="00E413D7"/>
    <w:rsid w:val="00E41D93"/>
    <w:rsid w:val="00E41E27"/>
    <w:rsid w:val="00E42686"/>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62"/>
    <w:rsid w:val="00E7609F"/>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C67"/>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E03"/>
    <w:rsid w:val="00EA4D37"/>
    <w:rsid w:val="00EA50A9"/>
    <w:rsid w:val="00EA5F4A"/>
    <w:rsid w:val="00EA735F"/>
    <w:rsid w:val="00EA7393"/>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48A"/>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6A6"/>
    <w:rsid w:val="00EE0D06"/>
    <w:rsid w:val="00EE1014"/>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3485"/>
    <w:rsid w:val="00F7390D"/>
    <w:rsid w:val="00F73D29"/>
    <w:rsid w:val="00F74086"/>
    <w:rsid w:val="00F740EE"/>
    <w:rsid w:val="00F749E4"/>
    <w:rsid w:val="00F75168"/>
    <w:rsid w:val="00F7528F"/>
    <w:rsid w:val="00F754E4"/>
    <w:rsid w:val="00F758D9"/>
    <w:rsid w:val="00F764B4"/>
    <w:rsid w:val="00F76B5B"/>
    <w:rsid w:val="00F76EF9"/>
    <w:rsid w:val="00F76F29"/>
    <w:rsid w:val="00F770B0"/>
    <w:rsid w:val="00F7746C"/>
    <w:rsid w:val="00F7760C"/>
    <w:rsid w:val="00F77CC4"/>
    <w:rsid w:val="00F800C9"/>
    <w:rsid w:val="00F804D5"/>
    <w:rsid w:val="00F80799"/>
    <w:rsid w:val="00F80B06"/>
    <w:rsid w:val="00F81254"/>
    <w:rsid w:val="00F812C7"/>
    <w:rsid w:val="00F81551"/>
    <w:rsid w:val="00F8214B"/>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B82"/>
    <w:rsid w:val="00F920C3"/>
    <w:rsid w:val="00F9214D"/>
    <w:rsid w:val="00F9231C"/>
    <w:rsid w:val="00F934EA"/>
    <w:rsid w:val="00F935C6"/>
    <w:rsid w:val="00F935EB"/>
    <w:rsid w:val="00F938F9"/>
    <w:rsid w:val="00F93969"/>
    <w:rsid w:val="00F93BB5"/>
    <w:rsid w:val="00F941D8"/>
    <w:rsid w:val="00F94468"/>
    <w:rsid w:val="00F946A7"/>
    <w:rsid w:val="00F955FF"/>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rsid w:val="00EB07AE"/>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nhideWhenUsed/>
    <w:rsid w:val="009D18C3"/>
    <w:rPr>
      <w:sz w:val="16"/>
      <w:szCs w:val="16"/>
    </w:rPr>
  </w:style>
  <w:style w:type="paragraph" w:styleId="af7">
    <w:name w:val="annotation text"/>
    <w:basedOn w:val="a"/>
    <w:link w:val="af8"/>
    <w:unhideWhenUsed/>
    <w:rsid w:val="009D18C3"/>
    <w:pPr>
      <w:spacing w:line="240" w:lineRule="auto"/>
    </w:pPr>
    <w:rPr>
      <w:sz w:val="20"/>
      <w:szCs w:val="20"/>
    </w:rPr>
  </w:style>
  <w:style w:type="character" w:customStyle="1" w:styleId="af8">
    <w:name w:val="טקסט הערה תו"/>
    <w:basedOn w:val="a0"/>
    <w:link w:val="af7"/>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qFormat/>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etzion.org.i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tzion.org.il/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zion.org.il/h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3.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1753</Words>
  <Characters>8765</Characters>
  <Application>Microsoft Office Word</Application>
  <DocSecurity>0</DocSecurity>
  <Lines>73</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10498</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4</cp:revision>
  <cp:lastPrinted>2001-10-24T10:13:00Z</cp:lastPrinted>
  <dcterms:created xsi:type="dcterms:W3CDTF">2023-12-21T13:37:00Z</dcterms:created>
  <dcterms:modified xsi:type="dcterms:W3CDTF">2023-12-21T13:43:00Z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