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7044DDD5" w:rsidR="00685E21" w:rsidRPr="000933E7" w:rsidRDefault="001A5114" w:rsidP="000933E7">
      <w:pPr>
        <w:pStyle w:val="a"/>
        <w:rPr>
          <w:rFonts w:ascii="Heebo" w:hAnsi="Heebo" w:cs="Heebo"/>
          <w:rtl/>
        </w:rPr>
      </w:pPr>
      <w:r>
        <w:rPr>
          <w:rFonts w:ascii="Heebo" w:hAnsi="Heebo" w:cs="Heebo" w:hint="cs"/>
          <w:rtl/>
        </w:rPr>
        <w:t xml:space="preserve">שיעור מספר </w:t>
      </w:r>
      <w:r w:rsidR="003974D2" w:rsidRPr="003974D2">
        <w:rPr>
          <w:rFonts w:ascii="Heebo" w:hAnsi="Heebo" w:cs="Heebo"/>
          <w:sz w:val="24"/>
        </w:rPr>
        <w:t>6</w:t>
      </w:r>
    </w:p>
    <w:p w14:paraId="43E73A19" w14:textId="36607D1E" w:rsidR="00685E21" w:rsidRDefault="003F0A5D" w:rsidP="000933E7">
      <w:pPr>
        <w:pStyle w:val="Heading1"/>
        <w:rPr>
          <w:rtl/>
        </w:rPr>
      </w:pPr>
      <w:bookmarkStart w:id="0" w:name="OLE_LINK1"/>
      <w:r>
        <w:rPr>
          <w:rFonts w:hint="cs"/>
          <w:rtl/>
        </w:rPr>
        <w:t xml:space="preserve">ברכה על </w:t>
      </w:r>
      <w:r w:rsidR="007024F4">
        <w:rPr>
          <w:rFonts w:hint="cs"/>
          <w:rtl/>
        </w:rPr>
        <w:t>מנהגים</w:t>
      </w:r>
    </w:p>
    <w:p w14:paraId="6E1BD22E" w14:textId="77777777" w:rsidR="00052EE8" w:rsidRPr="00052EE8" w:rsidRDefault="00052EE8" w:rsidP="00052EE8">
      <w:pPr>
        <w:rPr>
          <w:rtl/>
        </w:rPr>
      </w:pPr>
      <w:bookmarkStart w:id="1" w:name="_Hlk148438088"/>
      <w:bookmarkEnd w:id="0"/>
      <w:r w:rsidRPr="00052EE8">
        <w:rPr>
          <w:rFonts w:hint="cs"/>
          <w:rtl/>
        </w:rPr>
        <w:t>בשיעור הקודם עסקנו בדיונים שונים הקשורים בברכה על מצוות שתוקפם מדרבנן. בשיעור זה נעסוק בברכה על מעשים ששייכים לעולם קיום התורה והמצוות, אך הם מעולם לא תוקנו על ידי חז"ל, אלא אומצו בידי עם ישראל ונהגו במשך דורות.</w:t>
      </w:r>
    </w:p>
    <w:p w14:paraId="3C5B1D3B" w14:textId="77777777" w:rsidR="00052EE8" w:rsidRPr="00052EE8" w:rsidRDefault="00052EE8" w:rsidP="00052EE8">
      <w:pPr>
        <w:rPr>
          <w:rtl/>
        </w:rPr>
      </w:pPr>
      <w:r w:rsidRPr="00052EE8">
        <w:rPr>
          <w:rFonts w:hint="cs"/>
          <w:rtl/>
        </w:rPr>
        <w:t>רבותינו הראשונים והאחרונים דנו בכך סביב מספר מנהגים מרכזיים: חיבוט ערבה, קריאת הלל בראש חודש וקריאת המגילות: שיר השירים, רות, איכה וקהלת.</w:t>
      </w:r>
    </w:p>
    <w:p w14:paraId="0E7D3747" w14:textId="77777777" w:rsidR="00052EE8" w:rsidRPr="00052EE8" w:rsidRDefault="00052EE8" w:rsidP="00052EE8">
      <w:pPr>
        <w:rPr>
          <w:rtl/>
        </w:rPr>
      </w:pPr>
      <w:r w:rsidRPr="00052EE8">
        <w:rPr>
          <w:rFonts w:hint="cs"/>
          <w:rtl/>
        </w:rPr>
        <w:t>השאלה המרכזית היא – האם מקרים אלה דומים למצוות מדרבנן ויש לברך עליהם, או שמא מסיבות מסוימות ההלכה בהם שונה, ואין מברכים עליהם?</w:t>
      </w:r>
    </w:p>
    <w:p w14:paraId="54246A18" w14:textId="77777777" w:rsidR="0097280B" w:rsidRPr="0045463A" w:rsidRDefault="0097280B" w:rsidP="0045463A">
      <w:pPr>
        <w:rPr>
          <w:rtl/>
        </w:rPr>
      </w:pPr>
    </w:p>
    <w:bookmarkEnd w:id="1"/>
    <w:p w14:paraId="5E839317" w14:textId="74A028D1" w:rsidR="00DB3477" w:rsidRPr="006105FF" w:rsidRDefault="00052EE8" w:rsidP="0045463A">
      <w:pPr>
        <w:pStyle w:val="I0"/>
        <w:rPr>
          <w:szCs w:val="26"/>
          <w:rtl/>
        </w:rPr>
      </w:pPr>
      <w:r>
        <w:rPr>
          <w:rFonts w:hint="cs"/>
          <w:szCs w:val="26"/>
          <w:rtl/>
        </w:rPr>
        <w:t>חיבוט ערבה</w:t>
      </w:r>
    </w:p>
    <w:p w14:paraId="621D4EA2" w14:textId="77777777" w:rsidR="00052EE8" w:rsidRPr="00052EE8" w:rsidRDefault="00052EE8" w:rsidP="00052EE8">
      <w:pPr>
        <w:rPr>
          <w:rtl/>
        </w:rPr>
      </w:pPr>
      <w:r w:rsidRPr="00052EE8">
        <w:rPr>
          <w:rFonts w:hint="cs"/>
          <w:rtl/>
        </w:rPr>
        <w:t xml:space="preserve">נושא זה נידון באופן ישיר, לכאורה, בגמרא במסכת סוכה (מ"ד ע"א-ב). בסוגיה זו מובאת מחלוקת ביחס לתוקף מצוות חיבוט ערבה </w:t>
      </w:r>
      <w:proofErr w:type="spellStart"/>
      <w:r w:rsidRPr="00052EE8">
        <w:rPr>
          <w:rFonts w:hint="cs"/>
          <w:rtl/>
        </w:rPr>
        <w:t>בגבולין</w:t>
      </w:r>
      <w:proofErr w:type="spellEnd"/>
      <w:r w:rsidRPr="00052EE8">
        <w:rPr>
          <w:rFonts w:hint="cs"/>
          <w:rtl/>
        </w:rPr>
        <w:t xml:space="preserve"> בסוכות:</w:t>
      </w:r>
    </w:p>
    <w:p w14:paraId="195E7F63" w14:textId="77777777" w:rsidR="00052EE8" w:rsidRPr="00052EE8" w:rsidRDefault="00052EE8" w:rsidP="005C01A0">
      <w:pPr>
        <w:ind w:left="720"/>
        <w:rPr>
          <w:rtl/>
        </w:rPr>
      </w:pPr>
      <w:proofErr w:type="spellStart"/>
      <w:r w:rsidRPr="00052EE8">
        <w:rPr>
          <w:rtl/>
        </w:rPr>
        <w:t>אתמר</w:t>
      </w:r>
      <w:proofErr w:type="spellEnd"/>
      <w:r w:rsidRPr="00052EE8">
        <w:rPr>
          <w:rtl/>
        </w:rPr>
        <w:t>: רבי יוחנן ורבי יהושע בן לוי, חד אמר: ערבה יסוד נביאים, וחד אמר: ערבה מנהג נביאים.</w:t>
      </w:r>
      <w:r w:rsidRPr="00052EE8">
        <w:rPr>
          <w:rFonts w:hint="cs"/>
          <w:rtl/>
        </w:rPr>
        <w:t xml:space="preserve"> (סוכה מ"ד ע"א-ע"ב)</w:t>
      </w:r>
    </w:p>
    <w:p w14:paraId="5949A6F8" w14:textId="77777777" w:rsidR="00052EE8" w:rsidRPr="00052EE8" w:rsidRDefault="00052EE8" w:rsidP="00052EE8">
      <w:pPr>
        <w:rPr>
          <w:rtl/>
        </w:rPr>
      </w:pPr>
      <w:r w:rsidRPr="00052EE8">
        <w:rPr>
          <w:rFonts w:hint="cs"/>
          <w:rtl/>
        </w:rPr>
        <w:t>רש"י מסביר את שני המושגים כך:</w:t>
      </w:r>
    </w:p>
    <w:p w14:paraId="79976629" w14:textId="77777777" w:rsidR="00052EE8" w:rsidRPr="00052EE8" w:rsidRDefault="00052EE8" w:rsidP="005C01A0">
      <w:pPr>
        <w:spacing w:after="0"/>
        <w:ind w:left="720"/>
        <w:rPr>
          <w:rtl/>
        </w:rPr>
      </w:pPr>
      <w:r w:rsidRPr="00052EE8">
        <w:rPr>
          <w:rtl/>
        </w:rPr>
        <w:t>יסוד נביאים הוא - תקנת נביאים אחרונים חגי זכריה ומלאכי</w:t>
      </w:r>
      <w:r w:rsidRPr="00052EE8">
        <w:rPr>
          <w:rFonts w:hint="cs"/>
          <w:rtl/>
        </w:rPr>
        <w:t>...</w:t>
      </w:r>
    </w:p>
    <w:p w14:paraId="4A7DA6B3" w14:textId="77777777" w:rsidR="005C01A0" w:rsidRDefault="00052EE8" w:rsidP="005C01A0">
      <w:pPr>
        <w:spacing w:after="0"/>
        <w:ind w:left="720"/>
        <w:rPr>
          <w:rtl/>
        </w:rPr>
      </w:pPr>
      <w:r w:rsidRPr="00052EE8">
        <w:rPr>
          <w:rtl/>
        </w:rPr>
        <w:t>מנהג - הנהיגו את העם, ולא תקנו להם</w:t>
      </w:r>
      <w:r w:rsidRPr="00052EE8">
        <w:rPr>
          <w:rFonts w:hint="cs"/>
          <w:rtl/>
        </w:rPr>
        <w:t xml:space="preserve">. </w:t>
      </w:r>
    </w:p>
    <w:p w14:paraId="40372C94" w14:textId="7BF6EA0B" w:rsidR="00052EE8" w:rsidRPr="00052EE8" w:rsidRDefault="00052EE8" w:rsidP="005C01A0">
      <w:pPr>
        <w:ind w:left="720"/>
        <w:rPr>
          <w:rtl/>
        </w:rPr>
      </w:pPr>
      <w:r w:rsidRPr="00052EE8">
        <w:rPr>
          <w:rFonts w:hint="cs"/>
          <w:rtl/>
        </w:rPr>
        <w:t>(רש"י שם)</w:t>
      </w:r>
    </w:p>
    <w:p w14:paraId="1FB60302" w14:textId="77777777" w:rsidR="00052EE8" w:rsidRPr="00052EE8" w:rsidRDefault="00052EE8" w:rsidP="00052EE8">
      <w:pPr>
        <w:rPr>
          <w:rtl/>
        </w:rPr>
      </w:pPr>
      <w:r w:rsidRPr="00052EE8">
        <w:rPr>
          <w:rFonts w:hint="cs"/>
          <w:rtl/>
        </w:rPr>
        <w:t>משתמע שכוונת הגמרא היא לשאול אם מדובר בהדרכה של הנביאים לעם ללא קביעה פורמלית (שלפחות בתחילתה לא הייתה מחייבת), או בתקנה מחייבת ככל תקנת חכמים אחרת.</w:t>
      </w:r>
      <w:r w:rsidRPr="00052EE8">
        <w:rPr>
          <w:vertAlign w:val="superscript"/>
          <w:rtl/>
        </w:rPr>
        <w:footnoteReference w:id="2"/>
      </w:r>
      <w:r w:rsidRPr="00052EE8">
        <w:rPr>
          <w:rFonts w:hint="cs"/>
          <w:rtl/>
        </w:rPr>
        <w:t xml:space="preserve"> </w:t>
      </w:r>
    </w:p>
    <w:p w14:paraId="249E2404" w14:textId="77777777" w:rsidR="00052EE8" w:rsidRPr="00052EE8" w:rsidRDefault="00052EE8" w:rsidP="00052EE8">
      <w:pPr>
        <w:rPr>
          <w:rtl/>
        </w:rPr>
      </w:pPr>
      <w:r w:rsidRPr="00052EE8">
        <w:rPr>
          <w:rFonts w:hint="cs"/>
          <w:rtl/>
        </w:rPr>
        <w:t>נפקא מינה למחלוקת זו, מובאת בהמשך הגמרא:</w:t>
      </w:r>
    </w:p>
    <w:p w14:paraId="61D88172" w14:textId="77777777" w:rsidR="00052EE8" w:rsidRPr="00052EE8" w:rsidRDefault="00052EE8" w:rsidP="005C01A0">
      <w:pPr>
        <w:ind w:left="720"/>
        <w:rPr>
          <w:rtl/>
        </w:rPr>
      </w:pPr>
      <w:r w:rsidRPr="00052EE8">
        <w:rPr>
          <w:rtl/>
        </w:rPr>
        <w:t xml:space="preserve">אמר </w:t>
      </w:r>
      <w:proofErr w:type="spellStart"/>
      <w:r w:rsidRPr="00052EE8">
        <w:rPr>
          <w:rtl/>
        </w:rPr>
        <w:t>אייבו</w:t>
      </w:r>
      <w:proofErr w:type="spellEnd"/>
      <w:r w:rsidRPr="00052EE8">
        <w:rPr>
          <w:rtl/>
        </w:rPr>
        <w:t xml:space="preserve">: </w:t>
      </w:r>
      <w:proofErr w:type="spellStart"/>
      <w:r w:rsidRPr="00052EE8">
        <w:rPr>
          <w:rtl/>
        </w:rPr>
        <w:t>הוה</w:t>
      </w:r>
      <w:proofErr w:type="spellEnd"/>
      <w:r w:rsidRPr="00052EE8">
        <w:rPr>
          <w:rtl/>
        </w:rPr>
        <w:t xml:space="preserve"> </w:t>
      </w:r>
      <w:proofErr w:type="spellStart"/>
      <w:r w:rsidRPr="00052EE8">
        <w:rPr>
          <w:rtl/>
        </w:rPr>
        <w:t>קאימנא</w:t>
      </w:r>
      <w:proofErr w:type="spellEnd"/>
      <w:r w:rsidRPr="00052EE8">
        <w:rPr>
          <w:rtl/>
        </w:rPr>
        <w:t xml:space="preserve"> </w:t>
      </w:r>
      <w:proofErr w:type="spellStart"/>
      <w:r w:rsidRPr="00052EE8">
        <w:rPr>
          <w:rtl/>
        </w:rPr>
        <w:t>קמיה</w:t>
      </w:r>
      <w:proofErr w:type="spellEnd"/>
      <w:r w:rsidRPr="00052EE8">
        <w:rPr>
          <w:rtl/>
        </w:rPr>
        <w:t xml:space="preserve"> דרבי אלעזר בר צדוק, ואייתי ההוא גברא ערבה </w:t>
      </w:r>
      <w:proofErr w:type="spellStart"/>
      <w:r w:rsidRPr="00052EE8">
        <w:rPr>
          <w:rtl/>
        </w:rPr>
        <w:t>קמיה</w:t>
      </w:r>
      <w:proofErr w:type="spellEnd"/>
      <w:r w:rsidRPr="00052EE8">
        <w:rPr>
          <w:rtl/>
        </w:rPr>
        <w:t xml:space="preserve">, שקיל, </w:t>
      </w:r>
      <w:proofErr w:type="spellStart"/>
      <w:r w:rsidRPr="00052EE8">
        <w:rPr>
          <w:rtl/>
        </w:rPr>
        <w:t>חביט</w:t>
      </w:r>
      <w:proofErr w:type="spellEnd"/>
      <w:r w:rsidRPr="00052EE8">
        <w:rPr>
          <w:rtl/>
        </w:rPr>
        <w:t xml:space="preserve"> </w:t>
      </w:r>
      <w:proofErr w:type="spellStart"/>
      <w:r w:rsidRPr="00052EE8">
        <w:rPr>
          <w:rtl/>
        </w:rPr>
        <w:t>חביט</w:t>
      </w:r>
      <w:proofErr w:type="spellEnd"/>
      <w:r w:rsidRPr="00052EE8">
        <w:rPr>
          <w:rtl/>
        </w:rPr>
        <w:t xml:space="preserve"> ולא </w:t>
      </w:r>
      <w:proofErr w:type="spellStart"/>
      <w:r w:rsidRPr="00052EE8">
        <w:rPr>
          <w:rtl/>
        </w:rPr>
        <w:t>בריך</w:t>
      </w:r>
      <w:proofErr w:type="spellEnd"/>
      <w:r w:rsidRPr="00052EE8">
        <w:rPr>
          <w:rtl/>
        </w:rPr>
        <w:t xml:space="preserve">. </w:t>
      </w:r>
      <w:proofErr w:type="spellStart"/>
      <w:r w:rsidRPr="00052EE8">
        <w:rPr>
          <w:rtl/>
        </w:rPr>
        <w:t>קסבר</w:t>
      </w:r>
      <w:proofErr w:type="spellEnd"/>
      <w:r w:rsidRPr="00052EE8">
        <w:rPr>
          <w:rtl/>
        </w:rPr>
        <w:t xml:space="preserve">: מנהג נביאים הוא. </w:t>
      </w:r>
      <w:proofErr w:type="spellStart"/>
      <w:r w:rsidRPr="00052EE8">
        <w:rPr>
          <w:rtl/>
        </w:rPr>
        <w:t>אייבו</w:t>
      </w:r>
      <w:proofErr w:type="spellEnd"/>
      <w:r w:rsidRPr="00052EE8">
        <w:rPr>
          <w:rtl/>
        </w:rPr>
        <w:t xml:space="preserve"> וחזקיה בני </w:t>
      </w:r>
      <w:proofErr w:type="spellStart"/>
      <w:r w:rsidRPr="00052EE8">
        <w:rPr>
          <w:rtl/>
        </w:rPr>
        <w:t>ברתיה</w:t>
      </w:r>
      <w:proofErr w:type="spellEnd"/>
      <w:r w:rsidRPr="00052EE8">
        <w:rPr>
          <w:rtl/>
        </w:rPr>
        <w:t xml:space="preserve"> </w:t>
      </w:r>
      <w:proofErr w:type="spellStart"/>
      <w:r w:rsidRPr="00052EE8">
        <w:rPr>
          <w:rtl/>
        </w:rPr>
        <w:t>דרב</w:t>
      </w:r>
      <w:proofErr w:type="spellEnd"/>
      <w:r w:rsidRPr="00052EE8">
        <w:rPr>
          <w:rtl/>
        </w:rPr>
        <w:t xml:space="preserve"> אייתו ערבה </w:t>
      </w:r>
      <w:proofErr w:type="spellStart"/>
      <w:r w:rsidRPr="00052EE8">
        <w:rPr>
          <w:rtl/>
        </w:rPr>
        <w:t>לקמיה</w:t>
      </w:r>
      <w:proofErr w:type="spellEnd"/>
      <w:r w:rsidRPr="00052EE8">
        <w:rPr>
          <w:rtl/>
        </w:rPr>
        <w:t xml:space="preserve"> </w:t>
      </w:r>
      <w:proofErr w:type="spellStart"/>
      <w:r w:rsidRPr="00052EE8">
        <w:rPr>
          <w:rtl/>
        </w:rPr>
        <w:t>דרב</w:t>
      </w:r>
      <w:proofErr w:type="spellEnd"/>
      <w:r w:rsidRPr="00052EE8">
        <w:rPr>
          <w:rtl/>
        </w:rPr>
        <w:t xml:space="preserve">, </w:t>
      </w:r>
      <w:proofErr w:type="spellStart"/>
      <w:r w:rsidRPr="00052EE8">
        <w:rPr>
          <w:rtl/>
        </w:rPr>
        <w:t>חביט</w:t>
      </w:r>
      <w:proofErr w:type="spellEnd"/>
      <w:r w:rsidRPr="00052EE8">
        <w:rPr>
          <w:rtl/>
        </w:rPr>
        <w:t xml:space="preserve"> </w:t>
      </w:r>
      <w:proofErr w:type="spellStart"/>
      <w:r w:rsidRPr="00052EE8">
        <w:rPr>
          <w:rtl/>
        </w:rPr>
        <w:t>חביט</w:t>
      </w:r>
      <w:proofErr w:type="spellEnd"/>
      <w:r w:rsidRPr="00052EE8">
        <w:rPr>
          <w:rtl/>
        </w:rPr>
        <w:t xml:space="preserve"> ולא </w:t>
      </w:r>
      <w:proofErr w:type="spellStart"/>
      <w:r w:rsidRPr="00052EE8">
        <w:rPr>
          <w:rtl/>
        </w:rPr>
        <w:t>בריך</w:t>
      </w:r>
      <w:proofErr w:type="spellEnd"/>
      <w:r w:rsidRPr="00052EE8">
        <w:rPr>
          <w:rtl/>
        </w:rPr>
        <w:t xml:space="preserve">, </w:t>
      </w:r>
      <w:proofErr w:type="spellStart"/>
      <w:r w:rsidRPr="00052EE8">
        <w:rPr>
          <w:rtl/>
        </w:rPr>
        <w:t>קא</w:t>
      </w:r>
      <w:proofErr w:type="spellEnd"/>
      <w:r w:rsidRPr="00052EE8">
        <w:rPr>
          <w:rtl/>
        </w:rPr>
        <w:t xml:space="preserve"> סבר: מנהג נביאים הוא.</w:t>
      </w:r>
    </w:p>
    <w:p w14:paraId="49EAE401" w14:textId="77777777" w:rsidR="00052EE8" w:rsidRPr="00052EE8" w:rsidRDefault="00052EE8" w:rsidP="00052EE8">
      <w:pPr>
        <w:rPr>
          <w:rtl/>
        </w:rPr>
      </w:pPr>
      <w:r w:rsidRPr="00052EE8">
        <w:rPr>
          <w:rFonts w:hint="cs"/>
          <w:rtl/>
        </w:rPr>
        <w:t>כלומר, אם מדובר היה בתקנה, וודאי שהיו צריכים לברך עליה (כפי שמברכים על מצוות מדרבנן). העובדה שרבי אלעזר בר צדוק ורב לא בירכו, מלמדת שלדעתם מדובר במנהג נביאים.</w:t>
      </w:r>
      <w:r w:rsidRPr="00052EE8">
        <w:rPr>
          <w:vertAlign w:val="superscript"/>
          <w:rtl/>
        </w:rPr>
        <w:footnoteReference w:id="3"/>
      </w:r>
    </w:p>
    <w:p w14:paraId="5339E24A" w14:textId="77777777" w:rsidR="00052EE8" w:rsidRPr="00052EE8" w:rsidRDefault="00052EE8" w:rsidP="00052EE8">
      <w:pPr>
        <w:rPr>
          <w:rtl/>
        </w:rPr>
      </w:pPr>
      <w:r w:rsidRPr="00052EE8">
        <w:rPr>
          <w:rFonts w:hint="cs"/>
          <w:rtl/>
        </w:rPr>
        <w:t xml:space="preserve">אם כן, משתמע </w:t>
      </w:r>
      <w:proofErr w:type="spellStart"/>
      <w:r w:rsidRPr="00052EE8">
        <w:rPr>
          <w:rFonts w:hint="cs"/>
          <w:rtl/>
        </w:rPr>
        <w:t>מהסוגיה</w:t>
      </w:r>
      <w:proofErr w:type="spellEnd"/>
      <w:r w:rsidRPr="00052EE8">
        <w:rPr>
          <w:rFonts w:hint="cs"/>
          <w:rtl/>
        </w:rPr>
        <w:t xml:space="preserve"> שאין לברך על מנהג.</w:t>
      </w:r>
    </w:p>
    <w:p w14:paraId="4386CE1E" w14:textId="24FC2F33" w:rsidR="0045463A" w:rsidRPr="00052EE8" w:rsidRDefault="00052EE8" w:rsidP="00052EE8">
      <w:pPr>
        <w:pStyle w:val="I0"/>
        <w:rPr>
          <w:szCs w:val="26"/>
          <w:rtl/>
        </w:rPr>
      </w:pPr>
      <w:r w:rsidRPr="00052EE8">
        <w:rPr>
          <w:rFonts w:hint="cs"/>
          <w:szCs w:val="26"/>
          <w:rtl/>
        </w:rPr>
        <w:t>הלל בראש חודש</w:t>
      </w:r>
    </w:p>
    <w:p w14:paraId="05057D1A" w14:textId="77777777" w:rsidR="00203552" w:rsidRPr="00203552" w:rsidRDefault="00203552" w:rsidP="00203552">
      <w:pPr>
        <w:rPr>
          <w:rtl/>
        </w:rPr>
      </w:pPr>
      <w:r w:rsidRPr="00203552">
        <w:rPr>
          <w:rFonts w:hint="cs"/>
          <w:rtl/>
        </w:rPr>
        <w:t>הגמרא במסכת תענית מספרת שרב הגיע לבבל וראה שקראו את ההלל בראש חודש. רב רצה לעצור את קריאתם, שהרי אין דין של קריאת ההלל בראש חודש,</w:t>
      </w:r>
      <w:r w:rsidRPr="00203552">
        <w:rPr>
          <w:vertAlign w:val="superscript"/>
          <w:rtl/>
        </w:rPr>
        <w:footnoteReference w:id="4"/>
      </w:r>
      <w:r w:rsidRPr="00203552">
        <w:rPr>
          <w:rFonts w:hint="cs"/>
          <w:rtl/>
        </w:rPr>
        <w:t xml:space="preserve"> אך לבסוף לא עשה זאת. הגמרא מסבירה מדוע:</w:t>
      </w:r>
    </w:p>
    <w:p w14:paraId="3E9D07D7" w14:textId="77777777" w:rsidR="00203552" w:rsidRPr="00203552" w:rsidRDefault="00203552" w:rsidP="005C01A0">
      <w:pPr>
        <w:ind w:left="720"/>
        <w:rPr>
          <w:rtl/>
        </w:rPr>
      </w:pPr>
      <w:r w:rsidRPr="00203552">
        <w:rPr>
          <w:rtl/>
        </w:rPr>
        <w:t xml:space="preserve">כיון </w:t>
      </w:r>
      <w:proofErr w:type="spellStart"/>
      <w:r w:rsidRPr="00203552">
        <w:rPr>
          <w:rtl/>
        </w:rPr>
        <w:t>דחזא</w:t>
      </w:r>
      <w:proofErr w:type="spellEnd"/>
      <w:r w:rsidRPr="00203552">
        <w:rPr>
          <w:rtl/>
        </w:rPr>
        <w:t xml:space="preserve"> </w:t>
      </w:r>
      <w:proofErr w:type="spellStart"/>
      <w:r w:rsidRPr="00203552">
        <w:rPr>
          <w:rtl/>
        </w:rPr>
        <w:t>דקא</w:t>
      </w:r>
      <w:proofErr w:type="spellEnd"/>
      <w:r w:rsidRPr="00203552">
        <w:rPr>
          <w:rtl/>
        </w:rPr>
        <w:t xml:space="preserve"> מדלגי </w:t>
      </w:r>
      <w:proofErr w:type="spellStart"/>
      <w:r w:rsidRPr="00203552">
        <w:rPr>
          <w:rtl/>
        </w:rPr>
        <w:t>דלוגי</w:t>
      </w:r>
      <w:proofErr w:type="spellEnd"/>
      <w:r w:rsidRPr="00203552">
        <w:rPr>
          <w:rtl/>
        </w:rPr>
        <w:t>, אמר שמע מינה מנהג אבותיהם בידיהם.</w:t>
      </w:r>
      <w:r w:rsidRPr="00203552">
        <w:rPr>
          <w:rFonts w:hint="cs"/>
          <w:rtl/>
        </w:rPr>
        <w:t xml:space="preserve"> (תענית </w:t>
      </w:r>
      <w:proofErr w:type="spellStart"/>
      <w:r w:rsidRPr="00203552">
        <w:rPr>
          <w:rFonts w:hint="cs"/>
          <w:rtl/>
        </w:rPr>
        <w:t>כח</w:t>
      </w:r>
      <w:proofErr w:type="spellEnd"/>
      <w:r w:rsidRPr="00203552">
        <w:rPr>
          <w:rFonts w:hint="cs"/>
          <w:rtl/>
        </w:rPr>
        <w:t xml:space="preserve"> ע"א)</w:t>
      </w:r>
    </w:p>
    <w:p w14:paraId="2942A231" w14:textId="77777777" w:rsidR="00203552" w:rsidRPr="00203552" w:rsidRDefault="00203552" w:rsidP="00203552">
      <w:pPr>
        <w:rPr>
          <w:rtl/>
        </w:rPr>
      </w:pPr>
      <w:r w:rsidRPr="00203552">
        <w:rPr>
          <w:rFonts w:hint="cs"/>
          <w:rtl/>
        </w:rPr>
        <w:t>כלומר, כיוון שהקהל המתפלל דילג על חלקים מן ההלל, הבין רב שמדובר במנהג אבות, ולא בטעות ובבלבול. בעלי התוספות מביאים שתי דעות מנוגדות לגבי המסקנות הנלמדות מסוגיה זו לשאלת הברכה על מנהגים:</w:t>
      </w:r>
    </w:p>
    <w:p w14:paraId="7C54F888" w14:textId="77777777" w:rsidR="00203552" w:rsidRPr="00203552" w:rsidRDefault="00203552" w:rsidP="005C01A0">
      <w:pPr>
        <w:ind w:left="720"/>
        <w:rPr>
          <w:rtl/>
        </w:rPr>
      </w:pPr>
      <w:proofErr w:type="spellStart"/>
      <w:r w:rsidRPr="00203552">
        <w:rPr>
          <w:rtl/>
        </w:rPr>
        <w:t>י"מ</w:t>
      </w:r>
      <w:proofErr w:type="spellEnd"/>
      <w:r w:rsidRPr="00203552">
        <w:rPr>
          <w:rtl/>
        </w:rPr>
        <w:t xml:space="preserve"> </w:t>
      </w:r>
      <w:proofErr w:type="spellStart"/>
      <w:r w:rsidRPr="00203552">
        <w:rPr>
          <w:rtl/>
        </w:rPr>
        <w:t>דאמנהג</w:t>
      </w:r>
      <w:proofErr w:type="spellEnd"/>
      <w:r w:rsidRPr="00203552">
        <w:rPr>
          <w:rtl/>
        </w:rPr>
        <w:t xml:space="preserve"> לא </w:t>
      </w:r>
      <w:proofErr w:type="spellStart"/>
      <w:r w:rsidRPr="00203552">
        <w:rPr>
          <w:rtl/>
        </w:rPr>
        <w:t>מברכינן</w:t>
      </w:r>
      <w:proofErr w:type="spellEnd"/>
      <w:r w:rsidRPr="00203552">
        <w:rPr>
          <w:rtl/>
        </w:rPr>
        <w:t xml:space="preserve"> מהכא</w:t>
      </w:r>
      <w:r w:rsidRPr="00203552">
        <w:rPr>
          <w:rFonts w:hint="cs"/>
          <w:rtl/>
        </w:rPr>
        <w:t xml:space="preserve">... </w:t>
      </w:r>
      <w:r w:rsidRPr="00203552">
        <w:rPr>
          <w:rtl/>
        </w:rPr>
        <w:t xml:space="preserve">אבל רבינו תם פסק </w:t>
      </w:r>
      <w:proofErr w:type="spellStart"/>
      <w:r w:rsidRPr="00203552">
        <w:rPr>
          <w:rtl/>
        </w:rPr>
        <w:t>דמברכינן</w:t>
      </w:r>
      <w:proofErr w:type="spellEnd"/>
      <w:r w:rsidRPr="00203552">
        <w:rPr>
          <w:rtl/>
        </w:rPr>
        <w:t xml:space="preserve"> דאי איתא דלא </w:t>
      </w:r>
      <w:proofErr w:type="spellStart"/>
      <w:r w:rsidRPr="00203552">
        <w:rPr>
          <w:rtl/>
        </w:rPr>
        <w:t>מברכינן</w:t>
      </w:r>
      <w:proofErr w:type="spellEnd"/>
      <w:r w:rsidRPr="00203552">
        <w:rPr>
          <w:rFonts w:hint="cs"/>
          <w:rtl/>
        </w:rPr>
        <w:t>,</w:t>
      </w:r>
      <w:r w:rsidRPr="00203552">
        <w:rPr>
          <w:rtl/>
        </w:rPr>
        <w:t xml:space="preserve"> אם כן מאי </w:t>
      </w:r>
      <w:proofErr w:type="spellStart"/>
      <w:r w:rsidRPr="00203552">
        <w:rPr>
          <w:rtl/>
        </w:rPr>
        <w:t>קאמר</w:t>
      </w:r>
      <w:proofErr w:type="spellEnd"/>
      <w:r w:rsidRPr="00203552">
        <w:rPr>
          <w:rtl/>
        </w:rPr>
        <w:t xml:space="preserve"> בגמרא כיון </w:t>
      </w:r>
      <w:proofErr w:type="spellStart"/>
      <w:r w:rsidRPr="00203552">
        <w:rPr>
          <w:rtl/>
        </w:rPr>
        <w:t>דשמעינהו</w:t>
      </w:r>
      <w:proofErr w:type="spellEnd"/>
      <w:r w:rsidRPr="00203552">
        <w:rPr>
          <w:rtl/>
        </w:rPr>
        <w:t xml:space="preserve"> </w:t>
      </w:r>
      <w:proofErr w:type="spellStart"/>
      <w:r w:rsidRPr="00203552">
        <w:rPr>
          <w:rtl/>
        </w:rPr>
        <w:t>דמדלגי</w:t>
      </w:r>
      <w:proofErr w:type="spellEnd"/>
      <w:r w:rsidRPr="00203552">
        <w:rPr>
          <w:rtl/>
        </w:rPr>
        <w:t xml:space="preserve"> ואזלי שמע מינה מנהג אבותיהם בידיהם</w:t>
      </w:r>
      <w:r w:rsidRPr="00203552">
        <w:rPr>
          <w:rFonts w:hint="cs"/>
          <w:rtl/>
        </w:rPr>
        <w:t>,</w:t>
      </w:r>
      <w:r w:rsidRPr="00203552">
        <w:rPr>
          <w:rtl/>
        </w:rPr>
        <w:t xml:space="preserve"> וכי לא היה לו להכיר אי משום מנהג קרו ליה לא מברכי</w:t>
      </w:r>
      <w:r w:rsidRPr="00203552">
        <w:rPr>
          <w:rFonts w:hint="cs"/>
          <w:rtl/>
        </w:rPr>
        <w:t>,</w:t>
      </w:r>
      <w:r w:rsidRPr="00203552">
        <w:rPr>
          <w:rtl/>
        </w:rPr>
        <w:t xml:space="preserve"> אי איתא </w:t>
      </w:r>
      <w:proofErr w:type="spellStart"/>
      <w:r w:rsidRPr="00203552">
        <w:rPr>
          <w:rtl/>
        </w:rPr>
        <w:t>דאמנהג</w:t>
      </w:r>
      <w:proofErr w:type="spellEnd"/>
      <w:r w:rsidRPr="00203552">
        <w:rPr>
          <w:rtl/>
        </w:rPr>
        <w:t xml:space="preserve"> לא </w:t>
      </w:r>
      <w:proofErr w:type="spellStart"/>
      <w:r w:rsidRPr="00203552">
        <w:rPr>
          <w:rtl/>
        </w:rPr>
        <w:t>מברכינן</w:t>
      </w:r>
      <w:proofErr w:type="spellEnd"/>
      <w:r w:rsidRPr="00203552">
        <w:rPr>
          <w:rtl/>
        </w:rPr>
        <w:t xml:space="preserve"> ואי מברכי לא מנהג הוא</w:t>
      </w:r>
      <w:r w:rsidRPr="00203552">
        <w:rPr>
          <w:rFonts w:hint="cs"/>
          <w:rtl/>
        </w:rPr>
        <w:t xml:space="preserve">... (תוספות על תענית </w:t>
      </w:r>
      <w:proofErr w:type="spellStart"/>
      <w:r w:rsidRPr="00203552">
        <w:rPr>
          <w:rFonts w:hint="cs"/>
          <w:rtl/>
        </w:rPr>
        <w:t>כח</w:t>
      </w:r>
      <w:proofErr w:type="spellEnd"/>
      <w:r w:rsidRPr="00203552">
        <w:rPr>
          <w:rFonts w:hint="cs"/>
          <w:rtl/>
        </w:rPr>
        <w:t xml:space="preserve"> ע"א, ד"ה אמר)</w:t>
      </w:r>
    </w:p>
    <w:p w14:paraId="62CF653A" w14:textId="77777777" w:rsidR="00203552" w:rsidRPr="00203552" w:rsidRDefault="00203552" w:rsidP="00203552">
      <w:pPr>
        <w:rPr>
          <w:rtl/>
        </w:rPr>
      </w:pPr>
      <w:r w:rsidRPr="00203552">
        <w:rPr>
          <w:rFonts w:hint="cs"/>
          <w:rtl/>
        </w:rPr>
        <w:t xml:space="preserve">לפי הדעה הראשונה </w:t>
      </w:r>
      <w:proofErr w:type="spellStart"/>
      <w:r w:rsidRPr="00203552">
        <w:rPr>
          <w:rFonts w:hint="cs"/>
          <w:rtl/>
        </w:rPr>
        <w:t>בתוס</w:t>
      </w:r>
      <w:proofErr w:type="spellEnd"/>
      <w:r w:rsidRPr="00203552">
        <w:rPr>
          <w:rFonts w:hint="cs"/>
          <w:rtl/>
        </w:rPr>
        <w:t>', מוכח מהמקרה הזה שלא בירכו על ההלל של ראש חודש ומכאן שלא מברכים על מנהג.</w:t>
      </w:r>
      <w:r w:rsidRPr="00203552">
        <w:rPr>
          <w:vertAlign w:val="superscript"/>
          <w:rtl/>
        </w:rPr>
        <w:footnoteReference w:id="5"/>
      </w:r>
      <w:r w:rsidRPr="00203552">
        <w:rPr>
          <w:rFonts w:hint="cs"/>
          <w:rtl/>
        </w:rPr>
        <w:t xml:space="preserve"> לעומת זאת, לפי רבינו תם, הסיפור דווקא מוכיח הפוך, שהרי אם לא מברכים על מנהג, רב היה רואה </w:t>
      </w:r>
      <w:r w:rsidRPr="00203552">
        <w:rPr>
          <w:rFonts w:hint="cs"/>
          <w:rtl/>
        </w:rPr>
        <w:lastRenderedPageBreak/>
        <w:t>שלא בירכו על ההלל, וממילא מסיק מכך שמדובר במנהג, ולא בטעות בדין! כלומר, לפי ר"ת, מסוגיה זו נלמד שמברכים על מנהגים.</w:t>
      </w:r>
    </w:p>
    <w:p w14:paraId="496B4A98" w14:textId="77777777" w:rsidR="00203552" w:rsidRPr="00203552" w:rsidRDefault="00203552" w:rsidP="00203552">
      <w:pPr>
        <w:rPr>
          <w:rtl/>
        </w:rPr>
      </w:pPr>
      <w:r w:rsidRPr="00203552">
        <w:rPr>
          <w:rFonts w:hint="cs"/>
          <w:rtl/>
        </w:rPr>
        <w:t>אמנם, במהלך דבריהם מציעים תוספות דרך להתמודד עם מהלכו של רבנו תם: ייתכן שרב איחר ולא שמע את תחילת ההלל, ולא ידע אם בירכו או לא.</w:t>
      </w:r>
    </w:p>
    <w:p w14:paraId="0DD5D7C1" w14:textId="2E7DF7B1" w:rsidR="0045463A" w:rsidRPr="00203552" w:rsidRDefault="00203552" w:rsidP="00203552">
      <w:pPr>
        <w:pStyle w:val="I0"/>
        <w:rPr>
          <w:szCs w:val="26"/>
          <w:rtl/>
        </w:rPr>
      </w:pPr>
      <w:r w:rsidRPr="00203552">
        <w:rPr>
          <w:rFonts w:hint="cs"/>
          <w:szCs w:val="26"/>
          <w:rtl/>
        </w:rPr>
        <w:t>יום טוב שני של גלויות</w:t>
      </w:r>
    </w:p>
    <w:p w14:paraId="6BA9363F" w14:textId="77777777" w:rsidR="006447A3" w:rsidRPr="006447A3" w:rsidRDefault="006447A3" w:rsidP="006447A3">
      <w:pPr>
        <w:rPr>
          <w:rtl/>
        </w:rPr>
      </w:pPr>
      <w:r w:rsidRPr="006447A3">
        <w:rPr>
          <w:rFonts w:hint="cs"/>
          <w:rtl/>
        </w:rPr>
        <w:t>הגמרא במסכת ביצה מסבירה שבחוץ לארץ מקפידים עדיין על יו"ט שני, למרות הלוח הקבוע. הלכה זו מוסברת על ידי הגמרא כך:</w:t>
      </w:r>
    </w:p>
    <w:p w14:paraId="5592FE74" w14:textId="77777777" w:rsidR="006447A3" w:rsidRPr="006447A3" w:rsidRDefault="006447A3" w:rsidP="005C01A0">
      <w:pPr>
        <w:ind w:left="720"/>
        <w:rPr>
          <w:rtl/>
        </w:rPr>
      </w:pPr>
      <w:r w:rsidRPr="006447A3">
        <w:rPr>
          <w:rtl/>
        </w:rPr>
        <w:t xml:space="preserve">הזהרו במנהג אבותיכם בידיכם, זמנין </w:t>
      </w:r>
      <w:proofErr w:type="spellStart"/>
      <w:r w:rsidRPr="006447A3">
        <w:rPr>
          <w:rtl/>
        </w:rPr>
        <w:t>דגזרו</w:t>
      </w:r>
      <w:proofErr w:type="spellEnd"/>
      <w:r w:rsidRPr="006447A3">
        <w:rPr>
          <w:rtl/>
        </w:rPr>
        <w:t xml:space="preserve"> </w:t>
      </w:r>
      <w:proofErr w:type="spellStart"/>
      <w:r w:rsidRPr="006447A3">
        <w:rPr>
          <w:rtl/>
        </w:rPr>
        <w:t>שמדא</w:t>
      </w:r>
      <w:proofErr w:type="spellEnd"/>
      <w:r w:rsidRPr="006447A3">
        <w:rPr>
          <w:rtl/>
        </w:rPr>
        <w:t xml:space="preserve"> ואתי </w:t>
      </w:r>
      <w:proofErr w:type="spellStart"/>
      <w:r w:rsidRPr="006447A3">
        <w:rPr>
          <w:rtl/>
        </w:rPr>
        <w:t>לאקלקולי</w:t>
      </w:r>
      <w:proofErr w:type="spellEnd"/>
      <w:r w:rsidRPr="006447A3">
        <w:rPr>
          <w:rtl/>
        </w:rPr>
        <w:t>.</w:t>
      </w:r>
      <w:r w:rsidRPr="006447A3">
        <w:rPr>
          <w:rFonts w:hint="cs"/>
          <w:rtl/>
        </w:rPr>
        <w:t xml:space="preserve"> (ביצה ד ע"ב)</w:t>
      </w:r>
    </w:p>
    <w:p w14:paraId="033893D1" w14:textId="77777777" w:rsidR="006447A3" w:rsidRPr="006447A3" w:rsidRDefault="006447A3" w:rsidP="006447A3">
      <w:pPr>
        <w:rPr>
          <w:rtl/>
        </w:rPr>
      </w:pPr>
      <w:r w:rsidRPr="006447A3">
        <w:rPr>
          <w:rFonts w:hint="cs"/>
          <w:rtl/>
        </w:rPr>
        <w:t>הגמרא קוראת לשמירת יו"ט שני כ"מנהג אבות". כידוע, שמירת יום טוב שני כוללת בתוכה גם ברכות, כמו למשל קידוש וגם ברכות על מצוות היום (בליל הסדר השני ובהלל של יום טוב). אם כך, ניתן לכאורה ללמוד שמברכים גם על מנהגים. כך אכן לומדים התוספות בסוכה:</w:t>
      </w:r>
    </w:p>
    <w:p w14:paraId="2C8B6D14" w14:textId="77777777" w:rsidR="006447A3" w:rsidRPr="006447A3" w:rsidRDefault="006447A3" w:rsidP="005C01A0">
      <w:pPr>
        <w:ind w:left="720"/>
        <w:rPr>
          <w:rtl/>
        </w:rPr>
      </w:pPr>
      <w:proofErr w:type="spellStart"/>
      <w:r w:rsidRPr="006447A3">
        <w:rPr>
          <w:rtl/>
        </w:rPr>
        <w:t>ודכוותיה</w:t>
      </w:r>
      <w:proofErr w:type="spellEnd"/>
      <w:r w:rsidRPr="006447A3">
        <w:rPr>
          <w:rtl/>
        </w:rPr>
        <w:t xml:space="preserve"> אשכחן </w:t>
      </w:r>
      <w:proofErr w:type="spellStart"/>
      <w:r w:rsidRPr="006447A3">
        <w:rPr>
          <w:rtl/>
        </w:rPr>
        <w:t>דמברכין</w:t>
      </w:r>
      <w:proofErr w:type="spellEnd"/>
      <w:r w:rsidRPr="006447A3">
        <w:rPr>
          <w:rtl/>
        </w:rPr>
        <w:t xml:space="preserve"> </w:t>
      </w:r>
      <w:proofErr w:type="spellStart"/>
      <w:r w:rsidRPr="006447A3">
        <w:rPr>
          <w:rtl/>
        </w:rPr>
        <w:t>אשני</w:t>
      </w:r>
      <w:proofErr w:type="spellEnd"/>
      <w:r w:rsidRPr="006447A3">
        <w:rPr>
          <w:rtl/>
        </w:rPr>
        <w:t xml:space="preserve"> ימים טובים של גליות ואינו אלא מנהג בעלמא </w:t>
      </w:r>
      <w:proofErr w:type="spellStart"/>
      <w:r w:rsidRPr="006447A3">
        <w:rPr>
          <w:rtl/>
        </w:rPr>
        <w:t>כדאיתא</w:t>
      </w:r>
      <w:proofErr w:type="spellEnd"/>
      <w:r w:rsidRPr="006447A3">
        <w:rPr>
          <w:rtl/>
        </w:rPr>
        <w:t xml:space="preserve"> </w:t>
      </w:r>
      <w:proofErr w:type="spellStart"/>
      <w:r w:rsidRPr="006447A3">
        <w:rPr>
          <w:rtl/>
        </w:rPr>
        <w:t>פ"ק</w:t>
      </w:r>
      <w:proofErr w:type="spellEnd"/>
      <w:r w:rsidRPr="006447A3">
        <w:rPr>
          <w:rtl/>
        </w:rPr>
        <w:t xml:space="preserve"> </w:t>
      </w:r>
      <w:proofErr w:type="spellStart"/>
      <w:r w:rsidRPr="006447A3">
        <w:rPr>
          <w:rtl/>
        </w:rPr>
        <w:t>דביצה</w:t>
      </w:r>
      <w:proofErr w:type="spellEnd"/>
      <w:r w:rsidRPr="006447A3">
        <w:rPr>
          <w:rFonts w:hint="cs"/>
          <w:rtl/>
        </w:rPr>
        <w:t>.</w:t>
      </w:r>
      <w:r w:rsidRPr="006447A3">
        <w:rPr>
          <w:vertAlign w:val="superscript"/>
          <w:rtl/>
        </w:rPr>
        <w:footnoteReference w:id="6"/>
      </w:r>
      <w:r w:rsidRPr="006447A3">
        <w:rPr>
          <w:rFonts w:hint="cs"/>
          <w:rtl/>
        </w:rPr>
        <w:t xml:space="preserve"> (תוספות על סוכה מד ע"ב, ד"ה "כאן במקדש")</w:t>
      </w:r>
    </w:p>
    <w:p w14:paraId="7BE45BED" w14:textId="77777777" w:rsidR="006447A3" w:rsidRPr="006447A3" w:rsidRDefault="006447A3" w:rsidP="006447A3">
      <w:pPr>
        <w:rPr>
          <w:rtl/>
        </w:rPr>
      </w:pPr>
      <w:r w:rsidRPr="006447A3">
        <w:rPr>
          <w:rFonts w:hint="cs"/>
          <w:rtl/>
        </w:rPr>
        <w:t xml:space="preserve">אמנם, יש שביארו שיו"ט שני אינו נשמר בתורת מנהג, אלא בתורת תקנה. כך, למשל, כותב </w:t>
      </w:r>
      <w:proofErr w:type="spellStart"/>
      <w:r w:rsidRPr="006447A3">
        <w:rPr>
          <w:rFonts w:hint="cs"/>
          <w:rtl/>
        </w:rPr>
        <w:t>הר"ן</w:t>
      </w:r>
      <w:proofErr w:type="spellEnd"/>
      <w:r w:rsidRPr="006447A3">
        <w:rPr>
          <w:rFonts w:hint="cs"/>
          <w:rtl/>
        </w:rPr>
        <w:t>:</w:t>
      </w:r>
    </w:p>
    <w:p w14:paraId="02A784C5" w14:textId="77777777" w:rsidR="006447A3" w:rsidRPr="006447A3" w:rsidRDefault="006447A3" w:rsidP="005C01A0">
      <w:pPr>
        <w:ind w:left="720"/>
        <w:rPr>
          <w:rtl/>
        </w:rPr>
      </w:pPr>
      <w:r w:rsidRPr="006447A3">
        <w:rPr>
          <w:rtl/>
        </w:rPr>
        <w:t>וכי מפני שהוזכר שם מנהג מביא אותה ראיה לכאן</w:t>
      </w:r>
      <w:r w:rsidRPr="006447A3">
        <w:rPr>
          <w:rFonts w:hint="cs"/>
          <w:rtl/>
        </w:rPr>
        <w:t>,</w:t>
      </w:r>
      <w:r w:rsidRPr="006447A3">
        <w:rPr>
          <w:rtl/>
        </w:rPr>
        <w:t xml:space="preserve"> והלא שם עיקר תקנה היא</w:t>
      </w:r>
      <w:r w:rsidRPr="006447A3">
        <w:rPr>
          <w:rFonts w:hint="cs"/>
          <w:rtl/>
        </w:rPr>
        <w:t>!</w:t>
      </w:r>
      <w:r w:rsidRPr="006447A3">
        <w:rPr>
          <w:rtl/>
        </w:rPr>
        <w:t xml:space="preserve"> </w:t>
      </w:r>
      <w:proofErr w:type="spellStart"/>
      <w:r w:rsidRPr="006447A3">
        <w:rPr>
          <w:rtl/>
        </w:rPr>
        <w:t>דאמרינן</w:t>
      </w:r>
      <w:proofErr w:type="spellEnd"/>
      <w:r w:rsidRPr="006447A3">
        <w:rPr>
          <w:rtl/>
        </w:rPr>
        <w:t xml:space="preserve"> שלחו מתם</w:t>
      </w:r>
      <w:r w:rsidRPr="006447A3">
        <w:rPr>
          <w:rFonts w:hint="cs"/>
          <w:rtl/>
        </w:rPr>
        <w:t>:</w:t>
      </w:r>
      <w:r w:rsidRPr="006447A3">
        <w:rPr>
          <w:rtl/>
        </w:rPr>
        <w:t xml:space="preserve"> </w:t>
      </w:r>
      <w:r w:rsidRPr="006447A3">
        <w:rPr>
          <w:rFonts w:hint="cs"/>
          <w:rtl/>
        </w:rPr>
        <w:t>'</w:t>
      </w:r>
      <w:r w:rsidRPr="006447A3">
        <w:rPr>
          <w:rtl/>
        </w:rPr>
        <w:t>הזהרו במנהג אבותיכם</w:t>
      </w:r>
      <w:r w:rsidRPr="006447A3">
        <w:rPr>
          <w:rFonts w:hint="cs"/>
          <w:rtl/>
        </w:rPr>
        <w:t>,</w:t>
      </w:r>
      <w:r w:rsidRPr="006447A3">
        <w:rPr>
          <w:rtl/>
        </w:rPr>
        <w:t xml:space="preserve"> </w:t>
      </w:r>
      <w:proofErr w:type="spellStart"/>
      <w:r w:rsidRPr="006447A3">
        <w:rPr>
          <w:rtl/>
        </w:rPr>
        <w:t>זימנין</w:t>
      </w:r>
      <w:proofErr w:type="spellEnd"/>
      <w:r w:rsidRPr="006447A3">
        <w:rPr>
          <w:rtl/>
        </w:rPr>
        <w:t xml:space="preserve"> </w:t>
      </w:r>
      <w:proofErr w:type="spellStart"/>
      <w:r w:rsidRPr="006447A3">
        <w:rPr>
          <w:rtl/>
        </w:rPr>
        <w:t>דגזרו</w:t>
      </w:r>
      <w:proofErr w:type="spellEnd"/>
      <w:r w:rsidRPr="006447A3">
        <w:rPr>
          <w:rtl/>
        </w:rPr>
        <w:t xml:space="preserve"> גזירה ואתי </w:t>
      </w:r>
      <w:proofErr w:type="spellStart"/>
      <w:r w:rsidRPr="006447A3">
        <w:rPr>
          <w:rtl/>
        </w:rPr>
        <w:t>לאיקלקולי</w:t>
      </w:r>
      <w:proofErr w:type="spellEnd"/>
      <w:r w:rsidRPr="006447A3">
        <w:rPr>
          <w:rFonts w:hint="cs"/>
          <w:rtl/>
        </w:rPr>
        <w:t>'</w:t>
      </w:r>
      <w:r w:rsidRPr="006447A3">
        <w:rPr>
          <w:rtl/>
        </w:rPr>
        <w:t xml:space="preserve"> </w:t>
      </w:r>
      <w:proofErr w:type="spellStart"/>
      <w:r w:rsidRPr="006447A3">
        <w:rPr>
          <w:rtl/>
        </w:rPr>
        <w:t>דמשמע</w:t>
      </w:r>
      <w:proofErr w:type="spellEnd"/>
      <w:r w:rsidRPr="006447A3">
        <w:rPr>
          <w:rtl/>
        </w:rPr>
        <w:t xml:space="preserve"> שתקנה קבועה אמרו כאן שינהגו כמנהג אבותיהם מפני חשש קלקול</w:t>
      </w:r>
      <w:r w:rsidRPr="006447A3">
        <w:rPr>
          <w:rFonts w:hint="cs"/>
          <w:rtl/>
        </w:rPr>
        <w:t xml:space="preserve">. (סוכה כ"ב ע"א בדפי </w:t>
      </w:r>
      <w:proofErr w:type="spellStart"/>
      <w:r w:rsidRPr="006447A3">
        <w:rPr>
          <w:rFonts w:hint="cs"/>
          <w:rtl/>
        </w:rPr>
        <w:t>הרי"ף</w:t>
      </w:r>
      <w:proofErr w:type="spellEnd"/>
      <w:r w:rsidRPr="006447A3">
        <w:rPr>
          <w:rFonts w:hint="cs"/>
          <w:rtl/>
        </w:rPr>
        <w:t>)</w:t>
      </w:r>
    </w:p>
    <w:p w14:paraId="6F9D1BCE" w14:textId="77777777" w:rsidR="006447A3" w:rsidRDefault="006447A3" w:rsidP="006447A3">
      <w:pPr>
        <w:rPr>
          <w:rtl/>
        </w:rPr>
      </w:pPr>
      <w:r w:rsidRPr="006447A3">
        <w:rPr>
          <w:rFonts w:hint="cs"/>
          <w:rtl/>
        </w:rPr>
        <w:t xml:space="preserve">אם כן, לדעת </w:t>
      </w:r>
      <w:proofErr w:type="spellStart"/>
      <w:r w:rsidRPr="006447A3">
        <w:rPr>
          <w:rFonts w:hint="cs"/>
          <w:rtl/>
        </w:rPr>
        <w:t>הר"ן</w:t>
      </w:r>
      <w:proofErr w:type="spellEnd"/>
      <w:r w:rsidRPr="006447A3">
        <w:rPr>
          <w:rFonts w:hint="cs"/>
          <w:rtl/>
        </w:rPr>
        <w:t xml:space="preserve"> יו"ט שני הוא תקנת חכמים ולא מנהג, ולכן אין מסוגיה זו ראיה לענייננו. כאמור, לפי שיטת התוספות נראה שלדין יו"ט שני של גלויות יש תוקף של מנהג, ועל כן יש מקום להביא ראיה ממקרה זה לשאלת ברכה על מנהגים.</w:t>
      </w:r>
    </w:p>
    <w:p w14:paraId="36C477A1" w14:textId="1B5C631D" w:rsidR="006447A3" w:rsidRPr="006447A3" w:rsidRDefault="006447A3" w:rsidP="006447A3">
      <w:pPr>
        <w:jc w:val="center"/>
        <w:rPr>
          <w:rtl/>
        </w:rPr>
      </w:pPr>
      <w:r>
        <w:rPr>
          <w:rFonts w:hint="cs"/>
          <w:rtl/>
        </w:rPr>
        <w:t>***</w:t>
      </w:r>
    </w:p>
    <w:p w14:paraId="79E7255A" w14:textId="77777777" w:rsidR="006601C0" w:rsidRPr="006601C0" w:rsidRDefault="006601C0" w:rsidP="006601C0">
      <w:pPr>
        <w:rPr>
          <w:rtl/>
        </w:rPr>
      </w:pPr>
      <w:r w:rsidRPr="006601C0">
        <w:rPr>
          <w:rFonts w:hint="cs"/>
          <w:rtl/>
        </w:rPr>
        <w:t>אם כן, שלוש סוגיות לפנינו: מהראשונה – חיבוט ערבה – עולה כמעט במפורש שאין לברך על מנהגים, ומשתי האחרות – הלל בראש חודש ויו"ט שני של גלויות – מדייקים חלק מרבותינו הראשונים שמברכים על מנהגים.</w:t>
      </w:r>
    </w:p>
    <w:p w14:paraId="3390DF10" w14:textId="77777777" w:rsidR="006601C0" w:rsidRPr="006601C0" w:rsidRDefault="006601C0" w:rsidP="005C01A0">
      <w:pPr>
        <w:spacing w:after="0"/>
        <w:rPr>
          <w:rtl/>
        </w:rPr>
      </w:pPr>
      <w:r w:rsidRPr="006601C0">
        <w:rPr>
          <w:rFonts w:hint="cs"/>
          <w:rtl/>
        </w:rPr>
        <w:t>ניצבות בפנינו שתי שאלות:</w:t>
      </w:r>
    </w:p>
    <w:p w14:paraId="57CA3BE8" w14:textId="77777777" w:rsidR="006601C0" w:rsidRPr="006601C0" w:rsidRDefault="006601C0" w:rsidP="005C01A0">
      <w:pPr>
        <w:numPr>
          <w:ilvl w:val="0"/>
          <w:numId w:val="21"/>
        </w:numPr>
        <w:spacing w:after="0"/>
      </w:pPr>
      <w:r w:rsidRPr="006601C0">
        <w:rPr>
          <w:rFonts w:hint="cs"/>
          <w:rtl/>
        </w:rPr>
        <w:t>אם אין מברכים על מנהגים: מדוע לא?</w:t>
      </w:r>
    </w:p>
    <w:p w14:paraId="04691DFC" w14:textId="77777777" w:rsidR="006601C0" w:rsidRPr="006601C0" w:rsidRDefault="006601C0" w:rsidP="006601C0">
      <w:pPr>
        <w:numPr>
          <w:ilvl w:val="0"/>
          <w:numId w:val="21"/>
        </w:numPr>
      </w:pPr>
      <w:r w:rsidRPr="006601C0">
        <w:rPr>
          <w:rFonts w:hint="cs"/>
          <w:rtl/>
        </w:rPr>
        <w:t>אם מברכים על מנהגים:</w:t>
      </w:r>
      <w:r w:rsidRPr="006601C0">
        <w:rPr>
          <w:rFonts w:hint="cs"/>
        </w:rPr>
        <w:t xml:space="preserve"> </w:t>
      </w:r>
      <w:r w:rsidRPr="006601C0">
        <w:rPr>
          <w:rFonts w:hint="cs"/>
          <w:rtl/>
        </w:rPr>
        <w:t>מדוע אין מברכים על חיבוט הערבה?</w:t>
      </w:r>
    </w:p>
    <w:p w14:paraId="02D6D9A2" w14:textId="77777777" w:rsidR="0056182B" w:rsidRPr="00584E39" w:rsidRDefault="0056182B" w:rsidP="00584E39">
      <w:pPr>
        <w:rPr>
          <w:rtl/>
        </w:rPr>
      </w:pPr>
    </w:p>
    <w:p w14:paraId="692A451F" w14:textId="2C38E9AD" w:rsidR="00DB3477" w:rsidRPr="006105FF" w:rsidRDefault="006601C0" w:rsidP="006105FF">
      <w:pPr>
        <w:pStyle w:val="I0"/>
        <w:rPr>
          <w:szCs w:val="26"/>
          <w:rtl/>
        </w:rPr>
      </w:pPr>
      <w:r>
        <w:rPr>
          <w:rFonts w:hint="cs"/>
          <w:szCs w:val="26"/>
          <w:rtl/>
        </w:rPr>
        <w:t>שיטות הראשונים שאין לברך על מנהגים</w:t>
      </w:r>
    </w:p>
    <w:p w14:paraId="5D7E90DA" w14:textId="77777777" w:rsidR="003A699B" w:rsidRPr="003A699B" w:rsidRDefault="003A699B" w:rsidP="003A699B">
      <w:pPr>
        <w:rPr>
          <w:rtl/>
        </w:rPr>
      </w:pPr>
      <w:r w:rsidRPr="003A699B">
        <w:rPr>
          <w:rFonts w:hint="cs"/>
          <w:rtl/>
        </w:rPr>
        <w:t xml:space="preserve">בסוגיה שראינו בסוכה, רש"י מבאר את </w:t>
      </w:r>
      <w:proofErr w:type="spellStart"/>
      <w:r w:rsidRPr="003A699B">
        <w:rPr>
          <w:rFonts w:hint="cs"/>
          <w:rtl/>
        </w:rPr>
        <w:t>הנפקא</w:t>
      </w:r>
      <w:proofErr w:type="spellEnd"/>
      <w:r w:rsidRPr="003A699B">
        <w:rPr>
          <w:rFonts w:hint="cs"/>
          <w:rtl/>
        </w:rPr>
        <w:t xml:space="preserve"> מינה לשאלה אם חיבוט ערבה הוא "יסוד נביאים" או "מנהג נביאים", כך:</w:t>
      </w:r>
    </w:p>
    <w:p w14:paraId="5B87D1BD" w14:textId="77777777" w:rsidR="003A699B" w:rsidRPr="003A699B" w:rsidRDefault="003A699B" w:rsidP="005C01A0">
      <w:pPr>
        <w:ind w:left="720"/>
        <w:rPr>
          <w:rtl/>
        </w:rPr>
      </w:pPr>
      <w:r w:rsidRPr="003A699B">
        <w:rPr>
          <w:rtl/>
        </w:rPr>
        <w:t xml:space="preserve">ונפקא מינה דלא </w:t>
      </w:r>
      <w:proofErr w:type="spellStart"/>
      <w:r w:rsidRPr="003A699B">
        <w:rPr>
          <w:rtl/>
        </w:rPr>
        <w:t>בעיא</w:t>
      </w:r>
      <w:proofErr w:type="spellEnd"/>
      <w:r w:rsidRPr="003A699B">
        <w:rPr>
          <w:rtl/>
        </w:rPr>
        <w:t xml:space="preserve"> ברכה, </w:t>
      </w:r>
      <w:proofErr w:type="spellStart"/>
      <w:r w:rsidRPr="003A699B">
        <w:rPr>
          <w:rtl/>
        </w:rPr>
        <w:t>דליכא</w:t>
      </w:r>
      <w:proofErr w:type="spellEnd"/>
      <w:r w:rsidRPr="003A699B">
        <w:rPr>
          <w:rtl/>
        </w:rPr>
        <w:t xml:space="preserve"> </w:t>
      </w:r>
      <w:proofErr w:type="spellStart"/>
      <w:r w:rsidRPr="003A699B">
        <w:rPr>
          <w:rtl/>
        </w:rPr>
        <w:t>למימר</w:t>
      </w:r>
      <w:proofErr w:type="spellEnd"/>
      <w:r w:rsidRPr="003A699B">
        <w:rPr>
          <w:rtl/>
        </w:rPr>
        <w:t xml:space="preserve"> </w:t>
      </w:r>
      <w:proofErr w:type="spellStart"/>
      <w:r w:rsidRPr="003A699B">
        <w:rPr>
          <w:rtl/>
        </w:rPr>
        <w:t>וצונו</w:t>
      </w:r>
      <w:proofErr w:type="spellEnd"/>
      <w:r w:rsidRPr="003A699B">
        <w:rPr>
          <w:rtl/>
        </w:rPr>
        <w:t xml:space="preserve">, </w:t>
      </w:r>
      <w:proofErr w:type="spellStart"/>
      <w:r w:rsidRPr="003A699B">
        <w:rPr>
          <w:rtl/>
        </w:rPr>
        <w:t>דאפילו</w:t>
      </w:r>
      <w:proofErr w:type="spellEnd"/>
      <w:r w:rsidRPr="003A699B">
        <w:rPr>
          <w:rtl/>
        </w:rPr>
        <w:t xml:space="preserve"> בכלל לא תסור </w:t>
      </w:r>
      <w:proofErr w:type="spellStart"/>
      <w:r w:rsidRPr="003A699B">
        <w:rPr>
          <w:rtl/>
        </w:rPr>
        <w:t>ליתא</w:t>
      </w:r>
      <w:proofErr w:type="spellEnd"/>
      <w:r w:rsidRPr="003A699B">
        <w:rPr>
          <w:rFonts w:hint="cs"/>
          <w:rtl/>
        </w:rPr>
        <w:t>. (רש"י על סוכה מד ע"א)</w:t>
      </w:r>
    </w:p>
    <w:p w14:paraId="048628A3" w14:textId="77777777" w:rsidR="003A699B" w:rsidRPr="003A699B" w:rsidRDefault="003A699B" w:rsidP="003A699B">
      <w:pPr>
        <w:rPr>
          <w:rtl/>
        </w:rPr>
      </w:pPr>
      <w:r w:rsidRPr="003A699B">
        <w:rPr>
          <w:rFonts w:hint="cs"/>
          <w:rtl/>
        </w:rPr>
        <w:t>לשיטת רש"י אין לברך על חיבוט ערבה כיוון שהחיוב לקיים מנהגים אינו נובע מהפסוק "לא תסור".</w:t>
      </w:r>
      <w:r w:rsidRPr="003A699B">
        <w:rPr>
          <w:vertAlign w:val="superscript"/>
          <w:rtl/>
        </w:rPr>
        <w:footnoteReference w:id="7"/>
      </w:r>
      <w:r w:rsidRPr="003A699B">
        <w:rPr>
          <w:rFonts w:hint="cs"/>
          <w:rtl/>
        </w:rPr>
        <w:t xml:space="preserve"> הנביאים רק "הנהיגו את העם", ולא תקנו להם את חיבוט הערבה, ואם כן אין אפשרות לומר "וצוונו" על המנהג. דברי רש"י נאמרו אמנם על חיבוט ערבה בלבד, אך הסברה הזו נראית שייכת לכל המנהגים. אכן, מצינו </w:t>
      </w:r>
      <w:proofErr w:type="spellStart"/>
      <w:r w:rsidRPr="003A699B">
        <w:rPr>
          <w:rFonts w:hint="cs"/>
          <w:rtl/>
        </w:rPr>
        <w:t>בשו"ת</w:t>
      </w:r>
      <w:proofErr w:type="spellEnd"/>
      <w:r w:rsidRPr="003A699B">
        <w:rPr>
          <w:rFonts w:hint="cs"/>
          <w:rtl/>
        </w:rPr>
        <w:t xml:space="preserve"> רש"י (סי' נ"ו), שאין לברך גם על ההלל של ראש חודש כיוון שמדובר במנהג, "</w:t>
      </w:r>
      <w:proofErr w:type="spellStart"/>
      <w:r w:rsidRPr="003A699B">
        <w:rPr>
          <w:rFonts w:hint="cs"/>
          <w:rtl/>
        </w:rPr>
        <w:t>ואמנהג</w:t>
      </w:r>
      <w:proofErr w:type="spellEnd"/>
      <w:r w:rsidRPr="003A699B">
        <w:rPr>
          <w:rFonts w:hint="cs"/>
          <w:rtl/>
        </w:rPr>
        <w:t xml:space="preserve"> אין צריך ברכה".</w:t>
      </w:r>
    </w:p>
    <w:p w14:paraId="29D1BB0D" w14:textId="77777777" w:rsidR="003A699B" w:rsidRPr="003A699B" w:rsidRDefault="003A699B" w:rsidP="005C01A0">
      <w:pPr>
        <w:spacing w:after="0"/>
        <w:rPr>
          <w:rtl/>
        </w:rPr>
      </w:pPr>
      <w:r w:rsidRPr="003A699B">
        <w:rPr>
          <w:rFonts w:hint="cs"/>
          <w:rtl/>
        </w:rPr>
        <w:t>את דברי רש"י ניתן להבין בשתי דרכים</w:t>
      </w:r>
      <w:r w:rsidRPr="003A699B">
        <w:rPr>
          <w:vertAlign w:val="superscript"/>
          <w:rtl/>
        </w:rPr>
        <w:footnoteReference w:id="8"/>
      </w:r>
      <w:r w:rsidRPr="003A699B">
        <w:rPr>
          <w:rFonts w:hint="cs"/>
          <w:rtl/>
        </w:rPr>
        <w:t>:</w:t>
      </w:r>
    </w:p>
    <w:p w14:paraId="6E01A049" w14:textId="77777777" w:rsidR="003A699B" w:rsidRPr="003A699B" w:rsidRDefault="003A699B" w:rsidP="005C01A0">
      <w:pPr>
        <w:numPr>
          <w:ilvl w:val="0"/>
          <w:numId w:val="22"/>
        </w:numPr>
        <w:spacing w:after="0"/>
      </w:pPr>
      <w:r w:rsidRPr="003A699B">
        <w:rPr>
          <w:rFonts w:hint="cs"/>
          <w:rtl/>
        </w:rPr>
        <w:t xml:space="preserve">באופן טכני </w:t>
      </w:r>
      <w:r w:rsidRPr="003A699B">
        <w:rPr>
          <w:rtl/>
        </w:rPr>
        <w:t>–</w:t>
      </w:r>
      <w:r w:rsidRPr="003A699B">
        <w:rPr>
          <w:rFonts w:hint="cs"/>
          <w:rtl/>
        </w:rPr>
        <w:t xml:space="preserve"> כשמדובר במנהג, מילת "וציוונו" איננה מתארת את המצב באופן מדויק, ולכן לא ניתן לברך על מנהגים.</w:t>
      </w:r>
    </w:p>
    <w:p w14:paraId="4F6F040F" w14:textId="77777777" w:rsidR="003A699B" w:rsidRPr="003A699B" w:rsidRDefault="003A699B" w:rsidP="003A699B">
      <w:pPr>
        <w:numPr>
          <w:ilvl w:val="0"/>
          <w:numId w:val="22"/>
        </w:numPr>
      </w:pPr>
      <w:r w:rsidRPr="003A699B">
        <w:rPr>
          <w:rFonts w:hint="cs"/>
          <w:rtl/>
        </w:rPr>
        <w:t xml:space="preserve">באופן מהותי </w:t>
      </w:r>
      <w:r w:rsidRPr="003A699B">
        <w:rPr>
          <w:rtl/>
        </w:rPr>
        <w:t>–</w:t>
      </w:r>
      <w:r w:rsidRPr="003A699B">
        <w:rPr>
          <w:rFonts w:hint="cs"/>
          <w:rtl/>
        </w:rPr>
        <w:t xml:space="preserve"> ברכת המצווה תוקנה דווקא על חיוב. חוסר האפשרות לומר "וציוונו" הוא רק סימן לכך שלא מדובר בחיוב, אלא במנהג – שעליו לא ראוי לברך.</w:t>
      </w:r>
    </w:p>
    <w:p w14:paraId="70FB90E2" w14:textId="77777777" w:rsidR="003A699B" w:rsidRPr="003A699B" w:rsidRDefault="003A699B" w:rsidP="003A699B">
      <w:pPr>
        <w:rPr>
          <w:rtl/>
        </w:rPr>
      </w:pPr>
    </w:p>
    <w:p w14:paraId="7DF21B58" w14:textId="77777777" w:rsidR="003A699B" w:rsidRPr="003A699B" w:rsidRDefault="003A699B" w:rsidP="003A699B">
      <w:pPr>
        <w:rPr>
          <w:rtl/>
        </w:rPr>
      </w:pPr>
      <w:r w:rsidRPr="003A699B">
        <w:rPr>
          <w:rFonts w:hint="cs"/>
          <w:rtl/>
        </w:rPr>
        <w:lastRenderedPageBreak/>
        <w:t>בדומה לרש"י, גם בדברי הרמב"ם מפורש שאין מברכים על מנהגים:</w:t>
      </w:r>
    </w:p>
    <w:p w14:paraId="4C0FF8E0" w14:textId="77777777" w:rsidR="003A699B" w:rsidRPr="003A699B" w:rsidRDefault="003A699B" w:rsidP="000A424C">
      <w:pPr>
        <w:ind w:left="720"/>
        <w:rPr>
          <w:rtl/>
        </w:rPr>
      </w:pPr>
      <w:r w:rsidRPr="003A699B">
        <w:rPr>
          <w:rtl/>
        </w:rPr>
        <w:t xml:space="preserve">כל דבר שהוא מנהג אף על פי שמנהג נביאים הוא כגון נטילת ערבה בשביעי של חג ואין צריך לומר מנהג חכמים כגון קריאת הלל בראשי חדשים ובחולו של מועד של פסח אין </w:t>
      </w:r>
      <w:proofErr w:type="spellStart"/>
      <w:r w:rsidRPr="003A699B">
        <w:rPr>
          <w:rtl/>
        </w:rPr>
        <w:t>מברכין</w:t>
      </w:r>
      <w:proofErr w:type="spellEnd"/>
      <w:r w:rsidRPr="003A699B">
        <w:rPr>
          <w:rtl/>
        </w:rPr>
        <w:t xml:space="preserve"> עליו</w:t>
      </w:r>
      <w:r w:rsidRPr="003A699B">
        <w:rPr>
          <w:rFonts w:hint="cs"/>
          <w:rtl/>
        </w:rPr>
        <w:t xml:space="preserve">... (משנה תורה, הלכות ברכות י"א, </w:t>
      </w:r>
      <w:proofErr w:type="spellStart"/>
      <w:r w:rsidRPr="003A699B">
        <w:rPr>
          <w:rFonts w:hint="cs"/>
          <w:rtl/>
        </w:rPr>
        <w:t>טז</w:t>
      </w:r>
      <w:proofErr w:type="spellEnd"/>
      <w:r w:rsidRPr="003A699B">
        <w:rPr>
          <w:rFonts w:hint="cs"/>
          <w:rtl/>
        </w:rPr>
        <w:t>)</w:t>
      </w:r>
    </w:p>
    <w:p w14:paraId="1BCB9799" w14:textId="77777777" w:rsidR="003A699B" w:rsidRPr="003A699B" w:rsidRDefault="003A699B" w:rsidP="003A699B">
      <w:pPr>
        <w:rPr>
          <w:rtl/>
        </w:rPr>
      </w:pPr>
      <w:r w:rsidRPr="003A699B">
        <w:rPr>
          <w:rFonts w:hint="cs"/>
          <w:rtl/>
        </w:rPr>
        <w:t>מצד שני, הרמב"ם אינו מנמק את הטעם לפטור. ייתכן שהוא סבור כשיטת רש"י, שמצוות "לא תסור" אינה מתייחסת למנהגים, ומשום כך אין מקום לברך. אלא שעמדו האחרונים על כך, שמדברי הרמב"ם בהלכות ממרים משתמע שמצוות "לא תסור"</w:t>
      </w:r>
      <w:r w:rsidRPr="003A699B">
        <w:rPr>
          <w:rFonts w:hint="cs"/>
        </w:rPr>
        <w:t xml:space="preserve"> </w:t>
      </w:r>
      <w:r w:rsidRPr="003A699B">
        <w:rPr>
          <w:rFonts w:hint="cs"/>
          <w:rtl/>
        </w:rPr>
        <w:t>מתייחסת גם למנהגים. בדבריו הוא עוסק בהיקף מצוות "לא תסור", וכך הוא כותב:</w:t>
      </w:r>
    </w:p>
    <w:p w14:paraId="6C838379" w14:textId="77777777" w:rsidR="003A699B" w:rsidRPr="003A699B" w:rsidRDefault="003A699B" w:rsidP="000A424C">
      <w:pPr>
        <w:ind w:left="720"/>
        <w:rPr>
          <w:rtl/>
        </w:rPr>
      </w:pPr>
      <w:r w:rsidRPr="003A699B">
        <w:rPr>
          <w:rtl/>
        </w:rPr>
        <w:t>כל מי שאינו עושה כהוראתן</w:t>
      </w:r>
      <w:r w:rsidRPr="003A699B">
        <w:rPr>
          <w:rFonts w:hint="cs"/>
          <w:rtl/>
        </w:rPr>
        <w:t>,</w:t>
      </w:r>
      <w:r w:rsidRPr="003A699B">
        <w:rPr>
          <w:rtl/>
        </w:rPr>
        <w:t xml:space="preserve"> עובר בלא תעשה שנאמר לא תסור מכל הדבר אשר יגידו לך ימין ושמאל</w:t>
      </w:r>
      <w:r w:rsidRPr="003A699B">
        <w:rPr>
          <w:rFonts w:hint="cs"/>
          <w:rtl/>
        </w:rPr>
        <w:t xml:space="preserve">... </w:t>
      </w:r>
      <w:r w:rsidRPr="003A699B">
        <w:rPr>
          <w:rtl/>
        </w:rPr>
        <w:t xml:space="preserve">אחד דברים שלמדו אותן מפי השמועה והם תורה שבעל פה, ואחד דברים שלמדום מפי דעתם באחת מן </w:t>
      </w:r>
      <w:proofErr w:type="spellStart"/>
      <w:r w:rsidRPr="003A699B">
        <w:rPr>
          <w:rtl/>
        </w:rPr>
        <w:t>המדות</w:t>
      </w:r>
      <w:proofErr w:type="spellEnd"/>
      <w:r w:rsidRPr="003A699B">
        <w:rPr>
          <w:rtl/>
        </w:rPr>
        <w:t xml:space="preserve"> שהתורה נדרשת בהן ונראה בעיניהם שדבר זה כך הוא, ואחד דברים </w:t>
      </w:r>
      <w:proofErr w:type="spellStart"/>
      <w:r w:rsidRPr="003A699B">
        <w:rPr>
          <w:rtl/>
        </w:rPr>
        <w:t>שעשאום</w:t>
      </w:r>
      <w:proofErr w:type="spellEnd"/>
      <w:r w:rsidRPr="003A699B">
        <w:rPr>
          <w:rtl/>
        </w:rPr>
        <w:t xml:space="preserve"> סייג לתורה ולפי מה שהשעה צריכה </w:t>
      </w:r>
      <w:r w:rsidRPr="003A699B">
        <w:rPr>
          <w:b/>
          <w:bCs/>
          <w:rtl/>
        </w:rPr>
        <w:t xml:space="preserve">והן הגזרות והתקנות </w:t>
      </w:r>
      <w:proofErr w:type="spellStart"/>
      <w:r w:rsidRPr="003A699B">
        <w:rPr>
          <w:b/>
          <w:bCs/>
          <w:rtl/>
        </w:rPr>
        <w:t>והמנהגות</w:t>
      </w:r>
      <w:proofErr w:type="spellEnd"/>
      <w:r w:rsidRPr="003A699B">
        <w:rPr>
          <w:rFonts w:hint="cs"/>
          <w:rtl/>
        </w:rPr>
        <w:t>... (משנה תורה, הלכות ממרים א', ב)</w:t>
      </w:r>
    </w:p>
    <w:p w14:paraId="0C57B052" w14:textId="77777777" w:rsidR="003A699B" w:rsidRPr="003A699B" w:rsidRDefault="003A699B" w:rsidP="003A699B">
      <w:pPr>
        <w:rPr>
          <w:rtl/>
        </w:rPr>
      </w:pPr>
      <w:r w:rsidRPr="003A699B">
        <w:rPr>
          <w:rFonts w:hint="cs"/>
          <w:rtl/>
        </w:rPr>
        <w:t>אמנם, יש שהציעו שעל אף הנאמר בהלכה זו, אין הכוונה שתוקפם של כל המנהגים הוא מ"לא תסור", אלא דווקא אלו המשמשים כסייג לתורה.</w:t>
      </w:r>
      <w:r w:rsidRPr="003A699B">
        <w:rPr>
          <w:vertAlign w:val="superscript"/>
          <w:rtl/>
        </w:rPr>
        <w:footnoteReference w:id="9"/>
      </w:r>
      <w:r w:rsidRPr="003A699B">
        <w:rPr>
          <w:rFonts w:hint="cs"/>
          <w:rtl/>
        </w:rPr>
        <w:t xml:space="preserve"> ניתן לדייק זאת מלשונו של הרמב"ם:</w:t>
      </w:r>
    </w:p>
    <w:p w14:paraId="1B13FAE8" w14:textId="77777777" w:rsidR="003A699B" w:rsidRPr="003A699B" w:rsidRDefault="003A699B" w:rsidP="000A424C">
      <w:pPr>
        <w:ind w:left="720"/>
        <w:rPr>
          <w:rtl/>
        </w:rPr>
      </w:pPr>
      <w:r w:rsidRPr="003A699B">
        <w:rPr>
          <w:rFonts w:hint="cs"/>
          <w:rtl/>
        </w:rPr>
        <w:t xml:space="preserve">ואחד דברים </w:t>
      </w:r>
      <w:proofErr w:type="spellStart"/>
      <w:r w:rsidRPr="003A699B">
        <w:rPr>
          <w:rFonts w:hint="eastAsia"/>
          <w:b/>
          <w:bCs/>
          <w:rtl/>
        </w:rPr>
        <w:t>שעשאום</w:t>
      </w:r>
      <w:proofErr w:type="spellEnd"/>
      <w:r w:rsidRPr="003A699B">
        <w:rPr>
          <w:b/>
          <w:bCs/>
          <w:rtl/>
        </w:rPr>
        <w:t xml:space="preserve"> סייג לתורה</w:t>
      </w:r>
      <w:r w:rsidRPr="003A699B">
        <w:rPr>
          <w:rFonts w:hint="cs"/>
          <w:rtl/>
        </w:rPr>
        <w:t xml:space="preserve">... והן... </w:t>
      </w:r>
      <w:proofErr w:type="spellStart"/>
      <w:r w:rsidRPr="003A699B">
        <w:rPr>
          <w:rFonts w:hint="eastAsia"/>
          <w:b/>
          <w:bCs/>
          <w:rtl/>
        </w:rPr>
        <w:t>והמנהגות</w:t>
      </w:r>
      <w:proofErr w:type="spellEnd"/>
      <w:r w:rsidRPr="003A699B">
        <w:rPr>
          <w:rFonts w:hint="cs"/>
          <w:rtl/>
        </w:rPr>
        <w:t>.</w:t>
      </w:r>
    </w:p>
    <w:p w14:paraId="688D43D6" w14:textId="77777777" w:rsidR="003A699B" w:rsidRPr="003A699B" w:rsidRDefault="003A699B" w:rsidP="003A699B">
      <w:pPr>
        <w:rPr>
          <w:rtl/>
        </w:rPr>
      </w:pPr>
      <w:r w:rsidRPr="003A699B">
        <w:rPr>
          <w:rFonts w:hint="cs"/>
          <w:rtl/>
        </w:rPr>
        <w:t>מצד שני, מלבד הסייגים הרמב"ם מזכיר גם את הביטוי "ולפי מה שהשעה צריכה". ביטוי זה יכול להתפרש כנימוק לצורך בסייג, או כביטוי המתאר גזרות, תקנות ומנהגות מסוג אחר, שאינו סייג.</w:t>
      </w:r>
    </w:p>
    <w:p w14:paraId="0E70535E" w14:textId="77777777" w:rsidR="003A699B" w:rsidRPr="003A699B" w:rsidRDefault="003A699B" w:rsidP="003A699B">
      <w:pPr>
        <w:rPr>
          <w:rtl/>
        </w:rPr>
      </w:pPr>
      <w:r w:rsidRPr="003A699B">
        <w:rPr>
          <w:rFonts w:hint="cs"/>
          <w:rtl/>
        </w:rPr>
        <w:t>חוסר בהירות דומה אנו מוצאים בהמשך דבריו של הרמב"ם, על היקף תוקפה של מצוות העשה "</w:t>
      </w:r>
      <w:r w:rsidRPr="003A699B">
        <w:rPr>
          <w:rtl/>
        </w:rPr>
        <w:t xml:space="preserve">עַל פִּי הַתּוֹרָה אֲשֶׁר </w:t>
      </w:r>
      <w:proofErr w:type="spellStart"/>
      <w:r w:rsidRPr="003A699B">
        <w:rPr>
          <w:rtl/>
        </w:rPr>
        <w:t>יוֹרוּך</w:t>
      </w:r>
      <w:proofErr w:type="spellEnd"/>
      <w:r w:rsidRPr="003A699B">
        <w:rPr>
          <w:rtl/>
        </w:rPr>
        <w:t>ָ וְעַל הַמִּשְׁפָּט אֲשֶׁר יֹאמְרוּ לְךָ תַּעֲשֶׂה</w:t>
      </w:r>
      <w:r w:rsidRPr="003A699B">
        <w:rPr>
          <w:rFonts w:hint="cs"/>
          <w:rtl/>
        </w:rPr>
        <w:t xml:space="preserve">..." (דברים י"ז, יא). הרמב"ם מסביר שמצווה זו נוגעת לכמה תחומים, וגם כאן הוא מזכיר את </w:t>
      </w:r>
      <w:proofErr w:type="spellStart"/>
      <w:r w:rsidRPr="003A699B">
        <w:rPr>
          <w:rFonts w:hint="cs"/>
          <w:rtl/>
        </w:rPr>
        <w:t>המנהגות</w:t>
      </w:r>
      <w:proofErr w:type="spellEnd"/>
      <w:r w:rsidRPr="003A699B">
        <w:rPr>
          <w:rFonts w:hint="cs"/>
          <w:rtl/>
        </w:rPr>
        <w:t>:</w:t>
      </w:r>
    </w:p>
    <w:p w14:paraId="063B02D6" w14:textId="77777777" w:rsidR="003A699B" w:rsidRPr="003A699B" w:rsidRDefault="003A699B" w:rsidP="000A424C">
      <w:pPr>
        <w:ind w:left="720"/>
        <w:rPr>
          <w:rtl/>
        </w:rPr>
      </w:pPr>
      <w:r w:rsidRPr="003A699B">
        <w:rPr>
          <w:rtl/>
        </w:rPr>
        <w:t xml:space="preserve">הרי הוא אומר על פי התורה אשר </w:t>
      </w:r>
      <w:proofErr w:type="spellStart"/>
      <w:r w:rsidRPr="003A699B">
        <w:rPr>
          <w:rtl/>
        </w:rPr>
        <w:t>יורוך</w:t>
      </w:r>
      <w:proofErr w:type="spellEnd"/>
      <w:r w:rsidRPr="003A699B">
        <w:rPr>
          <w:rFonts w:hint="cs"/>
          <w:rtl/>
        </w:rPr>
        <w:t>,</w:t>
      </w:r>
      <w:r w:rsidRPr="003A699B">
        <w:rPr>
          <w:rtl/>
        </w:rPr>
        <w:t xml:space="preserve"> אלו התקנות והגזירות </w:t>
      </w:r>
      <w:proofErr w:type="spellStart"/>
      <w:r w:rsidRPr="003A699B">
        <w:rPr>
          <w:rtl/>
        </w:rPr>
        <w:t>והמנהגות</w:t>
      </w:r>
      <w:proofErr w:type="spellEnd"/>
      <w:r w:rsidRPr="003A699B">
        <w:rPr>
          <w:rtl/>
        </w:rPr>
        <w:t xml:space="preserve"> שיורו בהם לרבים כדי לחזק הדת ולתקן העולם</w:t>
      </w:r>
      <w:r w:rsidRPr="003A699B">
        <w:rPr>
          <w:rFonts w:hint="cs"/>
          <w:rtl/>
        </w:rPr>
        <w:t>.</w:t>
      </w:r>
    </w:p>
    <w:p w14:paraId="20E87C5F" w14:textId="77777777" w:rsidR="003A699B" w:rsidRPr="003A699B" w:rsidRDefault="003A699B" w:rsidP="003A699B">
      <w:pPr>
        <w:rPr>
          <w:rtl/>
        </w:rPr>
      </w:pPr>
      <w:r w:rsidRPr="003A699B">
        <w:rPr>
          <w:rFonts w:hint="cs"/>
          <w:rtl/>
        </w:rPr>
        <w:t>האם תקנות גזירות ומנהגות שנועדו ל"חיזוק הדת ותיקון העולם" הם דווקא סייגים? נראה שניתן להוכיח שלא זו כוונת הרמב"ם, כיוון שלדעתו החיוב לברך על מצוות דרבנן נובע מן הציווי הזה.</w:t>
      </w:r>
      <w:r w:rsidRPr="003A699B">
        <w:rPr>
          <w:vertAlign w:val="superscript"/>
          <w:rtl/>
        </w:rPr>
        <w:footnoteReference w:id="10"/>
      </w:r>
      <w:r w:rsidRPr="003A699B">
        <w:rPr>
          <w:rFonts w:hint="cs"/>
          <w:rtl/>
        </w:rPr>
        <w:t xml:space="preserve"> אם כך, מצוות מדרבנן שאינן סייג – כמו למשל, מצוות הדלקת נרות חנוכה – כלולות במצווה זו, ואם כך נראה שגם המנהגים שהחובה לקיימם נלמדת מפסוק זה, אינם דווקא סייגים.</w:t>
      </w:r>
    </w:p>
    <w:p w14:paraId="11F81DEF" w14:textId="77777777" w:rsidR="003A699B" w:rsidRDefault="003A699B" w:rsidP="003A699B">
      <w:pPr>
        <w:rPr>
          <w:rtl/>
        </w:rPr>
      </w:pPr>
      <w:r w:rsidRPr="003A699B">
        <w:rPr>
          <w:rFonts w:hint="cs"/>
          <w:rtl/>
        </w:rPr>
        <w:t>אם דברינו נכונים, השאלה בוקעת מאליה: מדוע אין מברכים על מנהגים, הרי מקור חיובם זהה לזה של דיני דרבנן שעליהם מברכים?</w:t>
      </w:r>
    </w:p>
    <w:p w14:paraId="6C71EEA1" w14:textId="4CFF975B" w:rsidR="003A699B" w:rsidRDefault="003A699B" w:rsidP="003A699B">
      <w:pPr>
        <w:jc w:val="center"/>
        <w:rPr>
          <w:rtl/>
        </w:rPr>
      </w:pPr>
      <w:r>
        <w:rPr>
          <w:rFonts w:hint="cs"/>
          <w:rtl/>
        </w:rPr>
        <w:t>***</w:t>
      </w:r>
    </w:p>
    <w:p w14:paraId="4B6CB149" w14:textId="77777777" w:rsidR="003A699B" w:rsidRPr="003A699B" w:rsidRDefault="003A699B" w:rsidP="003A699B">
      <w:pPr>
        <w:rPr>
          <w:rtl/>
        </w:rPr>
      </w:pPr>
      <w:r w:rsidRPr="003A699B">
        <w:rPr>
          <w:rFonts w:hint="cs"/>
          <w:rtl/>
        </w:rPr>
        <w:t xml:space="preserve">יחד עם שאלה זו, מעלה </w:t>
      </w:r>
      <w:proofErr w:type="spellStart"/>
      <w:r w:rsidRPr="003A699B">
        <w:rPr>
          <w:rFonts w:hint="cs"/>
          <w:rtl/>
        </w:rPr>
        <w:t>הגרי"ז</w:t>
      </w:r>
      <w:proofErr w:type="spellEnd"/>
      <w:r w:rsidRPr="003A699B">
        <w:rPr>
          <w:rFonts w:hint="cs"/>
          <w:rtl/>
        </w:rPr>
        <w:t xml:space="preserve"> שאלה נוספת על הרמב"ם. </w:t>
      </w:r>
      <w:proofErr w:type="spellStart"/>
      <w:r w:rsidRPr="003A699B">
        <w:rPr>
          <w:rFonts w:hint="cs"/>
          <w:rtl/>
        </w:rPr>
        <w:t>הגרי"ז</w:t>
      </w:r>
      <w:proofErr w:type="spellEnd"/>
      <w:r w:rsidRPr="003A699B">
        <w:rPr>
          <w:rFonts w:hint="cs"/>
          <w:rtl/>
        </w:rPr>
        <w:t xml:space="preserve"> (על הלכות ברכות י"א, </w:t>
      </w:r>
      <w:proofErr w:type="spellStart"/>
      <w:r w:rsidRPr="003A699B">
        <w:rPr>
          <w:rFonts w:hint="cs"/>
          <w:rtl/>
        </w:rPr>
        <w:t>טז</w:t>
      </w:r>
      <w:proofErr w:type="spellEnd"/>
      <w:r w:rsidRPr="003A699B">
        <w:rPr>
          <w:rFonts w:hint="cs"/>
          <w:rtl/>
        </w:rPr>
        <w:t>) מוכיח מכמה הלכות ברמב"ם שקיום יו"ט שני של גלויות בזמן הזה "תורת מנהג עליו". אם כן, כיצד מברכים על אכילת מצה ומרור ביו"ט שני לפי הרמב"ם?</w:t>
      </w:r>
    </w:p>
    <w:p w14:paraId="23DA1D48" w14:textId="77777777" w:rsidR="003A699B" w:rsidRPr="003A699B" w:rsidRDefault="003A699B" w:rsidP="003A699B">
      <w:pPr>
        <w:rPr>
          <w:rtl/>
        </w:rPr>
      </w:pPr>
      <w:r w:rsidRPr="003A699B">
        <w:rPr>
          <w:rFonts w:hint="cs"/>
          <w:rtl/>
        </w:rPr>
        <w:t xml:space="preserve">ניתן לענות על שאלה זו באופן נקודתי. ההבנה לפיה הרמב"ם סובר שקיום יו"ט שני הוא מתורת מנהג, אינה פשוטה. נעיין בקצרה בהלכות השונות בהן הרמב"ם עוסק בתוקפו של יו"ט שני של גלויות. </w:t>
      </w:r>
    </w:p>
    <w:p w14:paraId="01A20BE2" w14:textId="77777777" w:rsidR="003A699B" w:rsidRPr="003A699B" w:rsidRDefault="003A699B" w:rsidP="000A424C">
      <w:pPr>
        <w:numPr>
          <w:ilvl w:val="0"/>
          <w:numId w:val="23"/>
        </w:numPr>
        <w:spacing w:after="0"/>
      </w:pPr>
      <w:r w:rsidRPr="003A699B">
        <w:rPr>
          <w:rFonts w:hint="cs"/>
          <w:rtl/>
        </w:rPr>
        <w:t>בהלכות יו"ט כותב הרמב"ם: "</w:t>
      </w:r>
      <w:r w:rsidRPr="003A699B">
        <w:rPr>
          <w:rtl/>
        </w:rPr>
        <w:t xml:space="preserve">זה שאנו </w:t>
      </w:r>
      <w:proofErr w:type="spellStart"/>
      <w:r w:rsidRPr="003A699B">
        <w:rPr>
          <w:rtl/>
        </w:rPr>
        <w:t>עושין</w:t>
      </w:r>
      <w:proofErr w:type="spellEnd"/>
      <w:r w:rsidRPr="003A699B">
        <w:rPr>
          <w:rtl/>
        </w:rPr>
        <w:t xml:space="preserve"> בחוצה לארץ כל יום טוב מאלו שני ימים </w:t>
      </w:r>
      <w:r w:rsidRPr="003A699B">
        <w:rPr>
          <w:b/>
          <w:bCs/>
          <w:rtl/>
        </w:rPr>
        <w:t>מנהג הוא</w:t>
      </w:r>
      <w:r w:rsidRPr="003A699B">
        <w:rPr>
          <w:rFonts w:hint="cs"/>
          <w:rtl/>
        </w:rPr>
        <w:t xml:space="preserve">" (משנה תורה, הלכות יו"ט א', </w:t>
      </w:r>
      <w:proofErr w:type="spellStart"/>
      <w:r w:rsidRPr="003A699B">
        <w:rPr>
          <w:rFonts w:hint="cs"/>
          <w:rtl/>
        </w:rPr>
        <w:t>כא</w:t>
      </w:r>
      <w:proofErr w:type="spellEnd"/>
      <w:r w:rsidRPr="003A699B">
        <w:rPr>
          <w:rFonts w:hint="cs"/>
          <w:rtl/>
        </w:rPr>
        <w:t>), ולכאורה מפורש שמדובר במנהג. אבל בהמשך ההלכה כותב הרמב"ם: "</w:t>
      </w:r>
      <w:r w:rsidRPr="003A699B">
        <w:rPr>
          <w:rtl/>
        </w:rPr>
        <w:t xml:space="preserve">ויום טוב שני </w:t>
      </w:r>
      <w:r w:rsidRPr="003A699B">
        <w:rPr>
          <w:b/>
          <w:bCs/>
          <w:rtl/>
        </w:rPr>
        <w:t>מדברי סופרים הוא</w:t>
      </w:r>
      <w:r w:rsidRPr="003A699B">
        <w:rPr>
          <w:rFonts w:hint="cs"/>
          <w:rtl/>
        </w:rPr>
        <w:t>..."</w:t>
      </w:r>
    </w:p>
    <w:p w14:paraId="40AE7D79" w14:textId="77777777" w:rsidR="003A699B" w:rsidRPr="003A699B" w:rsidRDefault="003A699B" w:rsidP="000A424C">
      <w:pPr>
        <w:numPr>
          <w:ilvl w:val="0"/>
          <w:numId w:val="23"/>
        </w:numPr>
        <w:spacing w:after="0"/>
      </w:pPr>
      <w:r w:rsidRPr="003A699B">
        <w:rPr>
          <w:rFonts w:hint="cs"/>
          <w:rtl/>
        </w:rPr>
        <w:t>בהמשך כותב הרמב"ם בצורה ברורה: "</w:t>
      </w:r>
      <w:r w:rsidRPr="003A699B">
        <w:rPr>
          <w:rtl/>
        </w:rPr>
        <w:t xml:space="preserve">אבל היום שבני ארץ ישראל </w:t>
      </w:r>
      <w:proofErr w:type="spellStart"/>
      <w:r w:rsidRPr="003A699B">
        <w:rPr>
          <w:rtl/>
        </w:rPr>
        <w:t>סומכין</w:t>
      </w:r>
      <w:proofErr w:type="spellEnd"/>
      <w:r w:rsidRPr="003A699B">
        <w:rPr>
          <w:rtl/>
        </w:rPr>
        <w:t xml:space="preserve"> על החשבון </w:t>
      </w:r>
      <w:proofErr w:type="spellStart"/>
      <w:r w:rsidRPr="003A699B">
        <w:rPr>
          <w:rtl/>
        </w:rPr>
        <w:t>ומקדשין</w:t>
      </w:r>
      <w:proofErr w:type="spellEnd"/>
      <w:r w:rsidRPr="003A699B">
        <w:rPr>
          <w:rtl/>
        </w:rPr>
        <w:t xml:space="preserve"> עליו אין יום טוב שני להסתלק מן הספק </w:t>
      </w:r>
      <w:r w:rsidRPr="003A699B">
        <w:rPr>
          <w:b/>
          <w:bCs/>
          <w:rtl/>
        </w:rPr>
        <w:t>אלא מנהג בלבד</w:t>
      </w:r>
      <w:r w:rsidRPr="003A699B">
        <w:rPr>
          <w:rtl/>
        </w:rPr>
        <w:t>.</w:t>
      </w:r>
      <w:r w:rsidRPr="003A699B">
        <w:rPr>
          <w:rFonts w:hint="cs"/>
          <w:rtl/>
        </w:rPr>
        <w:t>" (הלכות יו"ט ו', יד)</w:t>
      </w:r>
    </w:p>
    <w:p w14:paraId="0110506C" w14:textId="77777777" w:rsidR="003A699B" w:rsidRPr="003A699B" w:rsidRDefault="003A699B" w:rsidP="000A424C">
      <w:pPr>
        <w:numPr>
          <w:ilvl w:val="0"/>
          <w:numId w:val="23"/>
        </w:numPr>
        <w:spacing w:after="0"/>
      </w:pPr>
      <w:r w:rsidRPr="003A699B">
        <w:rPr>
          <w:rFonts w:hint="cs"/>
          <w:rtl/>
        </w:rPr>
        <w:t>בהלכות תלמוד תורה הרמב"ם כולל את חילול יו"ט שני ברשימת הדברים המחייבים נידוי: "</w:t>
      </w:r>
      <w:r w:rsidRPr="003A699B">
        <w:rPr>
          <w:rtl/>
        </w:rPr>
        <w:t xml:space="preserve">המחלל יום טוב שני של גליות </w:t>
      </w:r>
      <w:r w:rsidRPr="003A699B">
        <w:rPr>
          <w:b/>
          <w:bCs/>
          <w:rtl/>
        </w:rPr>
        <w:t>אף על פי שהוא מנהג</w:t>
      </w:r>
      <w:r w:rsidRPr="003A699B">
        <w:rPr>
          <w:rFonts w:hint="cs"/>
          <w:rtl/>
        </w:rPr>
        <w:t>". (הלכות תלמוד תורה ו', יד)</w:t>
      </w:r>
    </w:p>
    <w:p w14:paraId="69E9E66B" w14:textId="77777777" w:rsidR="003A699B" w:rsidRPr="003A699B" w:rsidRDefault="003A699B" w:rsidP="003A699B">
      <w:pPr>
        <w:numPr>
          <w:ilvl w:val="0"/>
          <w:numId w:val="23"/>
        </w:numPr>
      </w:pPr>
      <w:r w:rsidRPr="003A699B">
        <w:rPr>
          <w:rFonts w:hint="cs"/>
          <w:rtl/>
        </w:rPr>
        <w:t>בהלכות קידוש החודש  הדברים פחות חדים, והם מזכירים את הניסוח בפרק א' מהלכות יום טוב: "</w:t>
      </w:r>
      <w:r w:rsidRPr="003A699B">
        <w:rPr>
          <w:rtl/>
        </w:rPr>
        <w:t xml:space="preserve">בזמן הזה שאין שם סנהדרין ובית דין של ארץ ישראל </w:t>
      </w:r>
      <w:proofErr w:type="spellStart"/>
      <w:r w:rsidRPr="003A699B">
        <w:rPr>
          <w:rtl/>
        </w:rPr>
        <w:t>קובעין</w:t>
      </w:r>
      <w:proofErr w:type="spellEnd"/>
      <w:r w:rsidRPr="003A699B">
        <w:rPr>
          <w:rtl/>
        </w:rPr>
        <w:t xml:space="preserve"> על חשבון זה, היה מן הדין שיהיו בכל המקומות </w:t>
      </w:r>
      <w:proofErr w:type="spellStart"/>
      <w:r w:rsidRPr="003A699B">
        <w:rPr>
          <w:rtl/>
        </w:rPr>
        <w:t>עושין</w:t>
      </w:r>
      <w:proofErr w:type="spellEnd"/>
      <w:r w:rsidRPr="003A699B">
        <w:rPr>
          <w:rtl/>
        </w:rPr>
        <w:t xml:space="preserve"> יום טוב אחד בלבד</w:t>
      </w:r>
      <w:r w:rsidRPr="003A699B">
        <w:rPr>
          <w:rFonts w:hint="cs"/>
          <w:rtl/>
        </w:rPr>
        <w:t xml:space="preserve">... </w:t>
      </w:r>
      <w:r w:rsidRPr="003A699B">
        <w:rPr>
          <w:rtl/>
        </w:rPr>
        <w:t xml:space="preserve">אבל </w:t>
      </w:r>
      <w:r w:rsidRPr="003A699B">
        <w:rPr>
          <w:b/>
          <w:bCs/>
          <w:rtl/>
        </w:rPr>
        <w:t>תקנת חכמים היא שיזהרו במנהג אבותיהם שבידיהם</w:t>
      </w:r>
      <w:r w:rsidRPr="003A699B">
        <w:rPr>
          <w:rtl/>
        </w:rPr>
        <w:t>.</w:t>
      </w:r>
      <w:r w:rsidRPr="003A699B">
        <w:rPr>
          <w:rFonts w:hint="cs"/>
          <w:rtl/>
        </w:rPr>
        <w:t>" (הלכות קידוש החודש ה', ה)</w:t>
      </w:r>
    </w:p>
    <w:p w14:paraId="4D399700" w14:textId="77777777" w:rsidR="003A699B" w:rsidRPr="003A699B" w:rsidRDefault="003A699B" w:rsidP="003A699B">
      <w:pPr>
        <w:rPr>
          <w:rtl/>
        </w:rPr>
      </w:pPr>
      <w:r w:rsidRPr="003A699B">
        <w:rPr>
          <w:rFonts w:hint="cs"/>
          <w:rtl/>
        </w:rPr>
        <w:lastRenderedPageBreak/>
        <w:t>כלומר, בשני מקומות הרמב"ם מתאר את יו"ט שני כמנהג באופן חד משמעי, ולעומת זאת בשני מקומות אחרים הניסוח פחות ברור, והרמב"ם משתמש בביטויים המתארים דיני דרבנן: "דברי סופרים" ו"תקנת חכמים". הרב רבינוביץ' זצ"ל בפירושו "יד פשוטה", עומד על הניסוח המורכב של הרמב"ם, ומסביר:</w:t>
      </w:r>
    </w:p>
    <w:p w14:paraId="3562B12B" w14:textId="77777777" w:rsidR="003A699B" w:rsidRPr="003A699B" w:rsidRDefault="003A699B" w:rsidP="000A424C">
      <w:pPr>
        <w:ind w:left="720"/>
        <w:rPr>
          <w:rtl/>
        </w:rPr>
      </w:pPr>
      <w:r w:rsidRPr="003A699B">
        <w:rPr>
          <w:rFonts w:hint="cs"/>
          <w:rtl/>
        </w:rPr>
        <w:t>...</w:t>
      </w:r>
      <w:r w:rsidRPr="003A699B">
        <w:rPr>
          <w:rtl/>
        </w:rPr>
        <w:t>יום טוב שני של גליות שאמנם תקנו חכמים מנהג זה</w:t>
      </w:r>
      <w:r w:rsidRPr="003A699B">
        <w:rPr>
          <w:rFonts w:hint="cs"/>
          <w:rtl/>
        </w:rPr>
        <w:t>.</w:t>
      </w:r>
      <w:r w:rsidRPr="003A699B">
        <w:rPr>
          <w:rtl/>
        </w:rPr>
        <w:t xml:space="preserve"> זאת אומרת</w:t>
      </w:r>
      <w:r w:rsidRPr="003A699B">
        <w:rPr>
          <w:rFonts w:hint="cs"/>
          <w:rtl/>
        </w:rPr>
        <w:t>,</w:t>
      </w:r>
      <w:r w:rsidRPr="003A699B">
        <w:rPr>
          <w:rtl/>
        </w:rPr>
        <w:t xml:space="preserve"> תקנו להחיל את דין יום טוב שני כמו מנהג</w:t>
      </w:r>
      <w:r w:rsidRPr="003A699B">
        <w:rPr>
          <w:rFonts w:hint="cs"/>
          <w:rtl/>
        </w:rPr>
        <w:t>,</w:t>
      </w:r>
      <w:r w:rsidRPr="003A699B">
        <w:rPr>
          <w:rtl/>
        </w:rPr>
        <w:t xml:space="preserve"> ולא כמו סתם תקנה שהיא החלטית</w:t>
      </w:r>
      <w:r w:rsidRPr="003A699B">
        <w:rPr>
          <w:rFonts w:hint="cs"/>
          <w:rtl/>
        </w:rPr>
        <w:t>.</w:t>
      </w:r>
      <w:r w:rsidRPr="003A699B">
        <w:rPr>
          <w:rtl/>
        </w:rPr>
        <w:t xml:space="preserve"> הואיל והוא בצורת מנהג</w:t>
      </w:r>
      <w:r w:rsidRPr="003A699B">
        <w:rPr>
          <w:rFonts w:hint="cs"/>
          <w:rtl/>
        </w:rPr>
        <w:t>,</w:t>
      </w:r>
      <w:r w:rsidRPr="003A699B">
        <w:rPr>
          <w:rtl/>
        </w:rPr>
        <w:t xml:space="preserve"> יש בו צד גדול להקל</w:t>
      </w:r>
      <w:r w:rsidRPr="003A699B">
        <w:rPr>
          <w:rFonts w:hint="cs"/>
          <w:rtl/>
        </w:rPr>
        <w:t>... (יד פשוטה על הלכות תלמוד תורה ו', יד)</w:t>
      </w:r>
    </w:p>
    <w:p w14:paraId="2633941E" w14:textId="77777777" w:rsidR="003A699B" w:rsidRPr="003A699B" w:rsidRDefault="003A699B" w:rsidP="003A699B">
      <w:pPr>
        <w:rPr>
          <w:rtl/>
        </w:rPr>
      </w:pPr>
      <w:r w:rsidRPr="003A699B">
        <w:rPr>
          <w:rFonts w:hint="cs"/>
          <w:rtl/>
        </w:rPr>
        <w:t>כלומר, באופן בסיסי מדובר ב"תקנת חכמים", אלא שחכמים אפיינו תקנה זו בכמה ממאפייני המנהג.</w:t>
      </w:r>
      <w:r w:rsidRPr="003A699B">
        <w:rPr>
          <w:vertAlign w:val="superscript"/>
          <w:rtl/>
        </w:rPr>
        <w:footnoteReference w:id="11"/>
      </w:r>
      <w:r w:rsidRPr="003A699B">
        <w:rPr>
          <w:rFonts w:hint="cs"/>
          <w:rtl/>
        </w:rPr>
        <w:t xml:space="preserve"> לפי דרכו של הרב רבינוביץ' שאלתו של </w:t>
      </w:r>
      <w:proofErr w:type="spellStart"/>
      <w:r w:rsidRPr="003A699B">
        <w:rPr>
          <w:rFonts w:hint="cs"/>
          <w:rtl/>
        </w:rPr>
        <w:t>הגרי"ז</w:t>
      </w:r>
      <w:proofErr w:type="spellEnd"/>
      <w:r w:rsidRPr="003A699B">
        <w:rPr>
          <w:rFonts w:hint="cs"/>
          <w:rtl/>
        </w:rPr>
        <w:t xml:space="preserve"> נפתרת מאליה, שהרי תוקפו של יו"ט של גלויות הוא של תקנת חכמים, ולא של מנהג.</w:t>
      </w:r>
      <w:r w:rsidRPr="003A699B">
        <w:rPr>
          <w:vertAlign w:val="superscript"/>
          <w:rtl/>
        </w:rPr>
        <w:footnoteReference w:id="12"/>
      </w:r>
    </w:p>
    <w:p w14:paraId="23C6000B" w14:textId="77777777" w:rsidR="003A699B" w:rsidRPr="003A699B" w:rsidRDefault="003A699B" w:rsidP="003A699B">
      <w:pPr>
        <w:rPr>
          <w:rtl/>
        </w:rPr>
      </w:pPr>
      <w:r w:rsidRPr="003A699B">
        <w:rPr>
          <w:rFonts w:hint="cs"/>
          <w:rtl/>
        </w:rPr>
        <w:t xml:space="preserve">דרך אחרת לתירוץ קושייתו של </w:t>
      </w:r>
      <w:proofErr w:type="spellStart"/>
      <w:r w:rsidRPr="003A699B">
        <w:rPr>
          <w:rFonts w:hint="cs"/>
          <w:rtl/>
        </w:rPr>
        <w:t>הגרי"ז</w:t>
      </w:r>
      <w:proofErr w:type="spellEnd"/>
      <w:r w:rsidRPr="003A699B">
        <w:rPr>
          <w:rFonts w:hint="cs"/>
          <w:rtl/>
        </w:rPr>
        <w:t xml:space="preserve"> מציע ה"קהילות יעקב" (ברכות סימן ח'). לדעתו יש להבחין בין ברכה על מנהג, לבין ברכה שהיא עצמה מנהג. על חיבוט ערבה או על קריאת הלל בראש חודש אין לברך, כיוון שמדובר במנהגים בלבד, ואין מברכים על מנהגים. ביו"ט שני, לעומת זאת, המנהג הוא לנהוג ביום השני כמנהג </w:t>
      </w:r>
      <w:proofErr w:type="spellStart"/>
      <w:r w:rsidRPr="003A699B">
        <w:rPr>
          <w:rFonts w:hint="cs"/>
          <w:rtl/>
        </w:rPr>
        <w:t>היו"ט</w:t>
      </w:r>
      <w:proofErr w:type="spellEnd"/>
      <w:r w:rsidRPr="003A699B">
        <w:rPr>
          <w:rFonts w:hint="cs"/>
          <w:rtl/>
        </w:rPr>
        <w:t xml:space="preserve"> הראשון, ומשום כך יש לברך כפי שבירכו ביום הראשון.</w:t>
      </w:r>
      <w:r w:rsidRPr="003A699B">
        <w:rPr>
          <w:vertAlign w:val="superscript"/>
          <w:rtl/>
        </w:rPr>
        <w:footnoteReference w:id="13"/>
      </w:r>
    </w:p>
    <w:p w14:paraId="7DFC61DC" w14:textId="77777777" w:rsidR="003A699B" w:rsidRPr="003A699B" w:rsidRDefault="003A699B" w:rsidP="003A699B">
      <w:pPr>
        <w:rPr>
          <w:rtl/>
        </w:rPr>
      </w:pPr>
      <w:r w:rsidRPr="003A699B">
        <w:rPr>
          <w:rFonts w:hint="cs"/>
          <w:rtl/>
        </w:rPr>
        <w:t xml:space="preserve">לעומת שתי הדרכים שראינו לעיל, </w:t>
      </w:r>
      <w:proofErr w:type="spellStart"/>
      <w:r w:rsidRPr="003A699B">
        <w:rPr>
          <w:rFonts w:hint="cs"/>
          <w:rtl/>
        </w:rPr>
        <w:t>הגרי"ז</w:t>
      </w:r>
      <w:proofErr w:type="spellEnd"/>
      <w:r w:rsidRPr="003A699B">
        <w:rPr>
          <w:rFonts w:hint="cs"/>
          <w:rtl/>
        </w:rPr>
        <w:t xml:space="preserve"> מציע ביאור אחר שעל ידו נפתרות שתי השאלות (א. מדוע אין מברכים על מנהגים, הרי גם עליהם נצטווינו ב"לא תסור", ו-ב. איך מברכים על מצוות יום טוב שני?), וזה לשונו:</w:t>
      </w:r>
    </w:p>
    <w:p w14:paraId="56433A25" w14:textId="77777777" w:rsidR="003A699B" w:rsidRPr="003A699B" w:rsidRDefault="003A699B" w:rsidP="000A424C">
      <w:pPr>
        <w:ind w:left="720"/>
        <w:rPr>
          <w:rtl/>
        </w:rPr>
      </w:pPr>
      <w:r w:rsidRPr="003A699B">
        <w:rPr>
          <w:rFonts w:hint="cs"/>
          <w:rtl/>
        </w:rPr>
        <w:t xml:space="preserve">והנראה פשוט, דלעת הרמב"ם הא דאין </w:t>
      </w:r>
      <w:proofErr w:type="spellStart"/>
      <w:r w:rsidRPr="003A699B">
        <w:rPr>
          <w:rFonts w:hint="cs"/>
          <w:rtl/>
        </w:rPr>
        <w:t>מברכין</w:t>
      </w:r>
      <w:proofErr w:type="spellEnd"/>
      <w:r w:rsidRPr="003A699B">
        <w:rPr>
          <w:rFonts w:hint="cs"/>
          <w:rtl/>
        </w:rPr>
        <w:t xml:space="preserve"> על המנהג, לא משום טעמא דאי אפשר לומר בהו </w:t>
      </w:r>
      <w:proofErr w:type="spellStart"/>
      <w:r w:rsidRPr="003A699B">
        <w:rPr>
          <w:rFonts w:hint="cs"/>
          <w:rtl/>
        </w:rPr>
        <w:t>וצונו</w:t>
      </w:r>
      <w:proofErr w:type="spellEnd"/>
      <w:r w:rsidRPr="003A699B">
        <w:rPr>
          <w:rFonts w:hint="cs"/>
          <w:rtl/>
        </w:rPr>
        <w:t xml:space="preserve"> הוא, </w:t>
      </w:r>
      <w:proofErr w:type="spellStart"/>
      <w:r w:rsidRPr="003A699B">
        <w:rPr>
          <w:rFonts w:hint="cs"/>
          <w:rtl/>
        </w:rPr>
        <w:t>דבאמת</w:t>
      </w:r>
      <w:proofErr w:type="spellEnd"/>
      <w:r w:rsidRPr="003A699B">
        <w:rPr>
          <w:rFonts w:hint="cs"/>
          <w:rtl/>
        </w:rPr>
        <w:t xml:space="preserve"> לדעת הרמב"ם, דין מנהגות הוא ככל דברי סופרים... אלא הא דאין </w:t>
      </w:r>
      <w:proofErr w:type="spellStart"/>
      <w:r w:rsidRPr="003A699B">
        <w:rPr>
          <w:rFonts w:hint="cs"/>
          <w:rtl/>
        </w:rPr>
        <w:t>מברכין</w:t>
      </w:r>
      <w:proofErr w:type="spellEnd"/>
      <w:r w:rsidRPr="003A699B">
        <w:rPr>
          <w:rFonts w:hint="cs"/>
          <w:rtl/>
        </w:rPr>
        <w:t xml:space="preserve"> על המנהג הוא זה דין בעצם </w:t>
      </w:r>
      <w:proofErr w:type="spellStart"/>
      <w:r w:rsidRPr="003A699B">
        <w:rPr>
          <w:rFonts w:hint="cs"/>
          <w:rtl/>
        </w:rPr>
        <w:t>החפצא</w:t>
      </w:r>
      <w:proofErr w:type="spellEnd"/>
      <w:r w:rsidRPr="003A699B">
        <w:rPr>
          <w:rFonts w:hint="cs"/>
          <w:rtl/>
        </w:rPr>
        <w:t xml:space="preserve"> שלהם, </w:t>
      </w:r>
      <w:proofErr w:type="spellStart"/>
      <w:r w:rsidRPr="003A699B">
        <w:rPr>
          <w:rFonts w:hint="cs"/>
          <w:rtl/>
        </w:rPr>
        <w:t>דלאו</w:t>
      </w:r>
      <w:proofErr w:type="spellEnd"/>
      <w:r w:rsidRPr="003A699B">
        <w:rPr>
          <w:rFonts w:hint="cs"/>
          <w:rtl/>
        </w:rPr>
        <w:t xml:space="preserve"> תורת מצות בהו לברך עליהן, דרק על מצות </w:t>
      </w:r>
      <w:proofErr w:type="spellStart"/>
      <w:r w:rsidRPr="003A699B">
        <w:rPr>
          <w:rFonts w:hint="cs"/>
          <w:rtl/>
        </w:rPr>
        <w:t>מברכין</w:t>
      </w:r>
      <w:proofErr w:type="spellEnd"/>
      <w:r w:rsidRPr="003A699B">
        <w:rPr>
          <w:rFonts w:hint="cs"/>
          <w:rtl/>
        </w:rPr>
        <w:t xml:space="preserve"> ולא על מנהגות... וברכות לא נתקנו רק על מצות בלבד, וזה שם אחר לו בעצם </w:t>
      </w:r>
      <w:proofErr w:type="spellStart"/>
      <w:r w:rsidRPr="003A699B">
        <w:rPr>
          <w:rFonts w:hint="cs"/>
          <w:rtl/>
        </w:rPr>
        <w:t>החפצא</w:t>
      </w:r>
      <w:proofErr w:type="spellEnd"/>
      <w:r w:rsidRPr="003A699B">
        <w:rPr>
          <w:rFonts w:hint="cs"/>
          <w:rtl/>
        </w:rPr>
        <w:t>, שם מנהג ולא שם מצוה...</w:t>
      </w:r>
    </w:p>
    <w:p w14:paraId="6C1A75C8" w14:textId="77777777" w:rsidR="003A699B" w:rsidRPr="003A699B" w:rsidRDefault="003A699B" w:rsidP="003A699B">
      <w:pPr>
        <w:rPr>
          <w:rtl/>
        </w:rPr>
      </w:pPr>
      <w:proofErr w:type="spellStart"/>
      <w:r w:rsidRPr="003A699B">
        <w:rPr>
          <w:rFonts w:hint="cs"/>
          <w:rtl/>
        </w:rPr>
        <w:t>הגרי"ז</w:t>
      </w:r>
      <w:proofErr w:type="spellEnd"/>
      <w:r w:rsidRPr="003A699B">
        <w:rPr>
          <w:rFonts w:hint="cs"/>
          <w:rtl/>
        </w:rPr>
        <w:t xml:space="preserve"> מסביר שחכמים תיקנו את ברכת המצוות רק על מצוות דרבנן, ולא על מנהגים. כאשר מדובר בדבר </w:t>
      </w:r>
      <w:r w:rsidRPr="003A699B">
        <w:rPr>
          <w:rFonts w:hint="cs"/>
          <w:rtl/>
        </w:rPr>
        <w:t>שהוא מנהג, לא שייך לברך עליו כי תקנת ברכת המצוות לא תוקנה ביחס אליו. אך לעומת דברים שכל עיקרם הוא מנהג, ישנם מנהגים שבמהותם הם מצווה, ומשום כך מברכים עליהם:</w:t>
      </w:r>
    </w:p>
    <w:p w14:paraId="4E25596A" w14:textId="77777777" w:rsidR="003A699B" w:rsidRPr="003A699B" w:rsidRDefault="003A699B" w:rsidP="000A424C">
      <w:pPr>
        <w:ind w:left="720"/>
        <w:rPr>
          <w:rtl/>
        </w:rPr>
      </w:pPr>
      <w:r w:rsidRPr="003A699B">
        <w:rPr>
          <w:rFonts w:hint="cs"/>
          <w:rtl/>
        </w:rPr>
        <w:t xml:space="preserve">ולפי זה הרי מבואר היטב מה </w:t>
      </w:r>
      <w:proofErr w:type="spellStart"/>
      <w:r w:rsidRPr="003A699B">
        <w:rPr>
          <w:rFonts w:hint="cs"/>
          <w:rtl/>
        </w:rPr>
        <w:t>דברכין</w:t>
      </w:r>
      <w:proofErr w:type="spellEnd"/>
      <w:r w:rsidRPr="003A699B">
        <w:rPr>
          <w:rFonts w:hint="cs"/>
          <w:rtl/>
        </w:rPr>
        <w:t xml:space="preserve"> ביו"ט שני על מצות הנוהגות בהן, כמו אכילת מצה ותקיעת שופר וקריאת הלל, </w:t>
      </w:r>
      <w:proofErr w:type="spellStart"/>
      <w:r w:rsidRPr="003A699B">
        <w:rPr>
          <w:rFonts w:hint="cs"/>
          <w:rtl/>
        </w:rPr>
        <w:t>דנהי</w:t>
      </w:r>
      <w:proofErr w:type="spellEnd"/>
      <w:r w:rsidRPr="003A699B">
        <w:rPr>
          <w:rFonts w:hint="cs"/>
          <w:rtl/>
        </w:rPr>
        <w:t xml:space="preserve"> </w:t>
      </w:r>
      <w:proofErr w:type="spellStart"/>
      <w:r w:rsidRPr="003A699B">
        <w:rPr>
          <w:rFonts w:hint="cs"/>
          <w:rtl/>
        </w:rPr>
        <w:t>דכל</w:t>
      </w:r>
      <w:proofErr w:type="spellEnd"/>
      <w:r w:rsidRPr="003A699B">
        <w:rPr>
          <w:rFonts w:hint="cs"/>
          <w:rtl/>
        </w:rPr>
        <w:t xml:space="preserve"> עצמו של יו"ט שני, בעיקר תקנתו, דין תורת מנהג עליו... </w:t>
      </w:r>
      <w:proofErr w:type="spellStart"/>
      <w:r w:rsidRPr="003A699B">
        <w:rPr>
          <w:rFonts w:hint="cs"/>
          <w:rtl/>
        </w:rPr>
        <w:t>דהמצות</w:t>
      </w:r>
      <w:proofErr w:type="spellEnd"/>
      <w:r w:rsidRPr="003A699B">
        <w:rPr>
          <w:rFonts w:hint="cs"/>
          <w:rtl/>
        </w:rPr>
        <w:t xml:space="preserve"> שנוהגות בו, כמו אכילת מצה וכדומה, עכ"פ בעיקר דינם, תורת מצות בהו בעצם </w:t>
      </w:r>
      <w:proofErr w:type="spellStart"/>
      <w:r w:rsidRPr="003A699B">
        <w:rPr>
          <w:rFonts w:hint="cs"/>
          <w:rtl/>
        </w:rPr>
        <w:t>החפצא</w:t>
      </w:r>
      <w:proofErr w:type="spellEnd"/>
      <w:r w:rsidRPr="003A699B">
        <w:rPr>
          <w:rFonts w:hint="cs"/>
          <w:rtl/>
        </w:rPr>
        <w:t>...</w:t>
      </w:r>
    </w:p>
    <w:p w14:paraId="09E416BF" w14:textId="77777777" w:rsidR="003A699B" w:rsidRPr="003A699B" w:rsidRDefault="003A699B" w:rsidP="003A699B">
      <w:pPr>
        <w:rPr>
          <w:rtl/>
        </w:rPr>
      </w:pPr>
      <w:r w:rsidRPr="003A699B">
        <w:rPr>
          <w:rFonts w:hint="cs"/>
          <w:rtl/>
        </w:rPr>
        <w:t xml:space="preserve">כלומר, למרות שיו"ט שני הוא מנהג, המצוות שנערכים בו מוגדרות כ"מצוות" ממש ומשום כך מברכים עליהם. </w:t>
      </w:r>
    </w:p>
    <w:p w14:paraId="0E494BB2" w14:textId="77777777" w:rsidR="003A699B" w:rsidRPr="003A699B" w:rsidRDefault="003A699B" w:rsidP="003A699B">
      <w:pPr>
        <w:rPr>
          <w:rtl/>
        </w:rPr>
      </w:pPr>
      <w:proofErr w:type="spellStart"/>
      <w:r w:rsidRPr="003A699B">
        <w:rPr>
          <w:rFonts w:hint="cs"/>
          <w:rtl/>
        </w:rPr>
        <w:t>הגרי"ז</w:t>
      </w:r>
      <w:proofErr w:type="spellEnd"/>
      <w:r w:rsidRPr="003A699B">
        <w:rPr>
          <w:rFonts w:hint="cs"/>
          <w:rtl/>
        </w:rPr>
        <w:t xml:space="preserve">, כדרכו, קובע הגדרה </w:t>
      </w:r>
      <w:r w:rsidRPr="003A699B">
        <w:rPr>
          <w:rtl/>
        </w:rPr>
        <w:t>–</w:t>
      </w:r>
      <w:r w:rsidRPr="003A699B">
        <w:rPr>
          <w:rFonts w:hint="cs"/>
          <w:rtl/>
        </w:rPr>
        <w:t xml:space="preserve"> אין ברכת המצוות על מנהג, כי מנהג אינו מצווה ולא תוקנה תקנת ברכת המצוות אלא על מצוות בלבד. אלא, שבדבריו אין נימוק וטעם לקביעת חז"ל זו.</w:t>
      </w:r>
    </w:p>
    <w:p w14:paraId="2CE9A8E2" w14:textId="77777777" w:rsidR="003A699B" w:rsidRPr="003A699B" w:rsidRDefault="003A699B" w:rsidP="003A699B">
      <w:pPr>
        <w:rPr>
          <w:rtl/>
        </w:rPr>
      </w:pPr>
      <w:r w:rsidRPr="003A699B">
        <w:rPr>
          <w:rFonts w:hint="cs"/>
          <w:rtl/>
        </w:rPr>
        <w:t xml:space="preserve">בדברים הבאים ננסה להגדיר את ההבדל העקרוני בין תקנה למנהג, ולאור זאת להסביר מדוע ברכת המצוות לא תוקנה על מנהגים, על אף שחובת הקיום של שניהם זהה. ברשימות שיעורים לסוכה מציע </w:t>
      </w:r>
      <w:proofErr w:type="spellStart"/>
      <w:r w:rsidRPr="003A699B">
        <w:rPr>
          <w:rFonts w:hint="cs"/>
          <w:rtl/>
        </w:rPr>
        <w:t>הגרי"ד</w:t>
      </w:r>
      <w:proofErr w:type="spellEnd"/>
      <w:r w:rsidRPr="003A699B">
        <w:rPr>
          <w:rFonts w:hint="cs"/>
          <w:rtl/>
        </w:rPr>
        <w:t xml:space="preserve"> את ההבחנה הבאה:</w:t>
      </w:r>
    </w:p>
    <w:p w14:paraId="1B00A8F1" w14:textId="77777777" w:rsidR="003A699B" w:rsidRPr="003A699B" w:rsidRDefault="003A699B" w:rsidP="000A424C">
      <w:pPr>
        <w:ind w:left="720"/>
        <w:rPr>
          <w:rtl/>
        </w:rPr>
      </w:pPr>
      <w:proofErr w:type="spellStart"/>
      <w:r w:rsidRPr="003A699B">
        <w:rPr>
          <w:rFonts w:hint="cs"/>
          <w:rtl/>
        </w:rPr>
        <w:t>הב"ד</w:t>
      </w:r>
      <w:proofErr w:type="spellEnd"/>
      <w:r w:rsidRPr="003A699B">
        <w:rPr>
          <w:rFonts w:hint="cs"/>
          <w:rtl/>
        </w:rPr>
        <w:t xml:space="preserve"> בתקנתם מורים במפורש ומצווים את העם, אבל במנהג אין </w:t>
      </w:r>
      <w:proofErr w:type="spellStart"/>
      <w:r w:rsidRPr="003A699B">
        <w:rPr>
          <w:rFonts w:hint="cs"/>
          <w:rtl/>
        </w:rPr>
        <w:t>הב"ד</w:t>
      </w:r>
      <w:proofErr w:type="spellEnd"/>
      <w:r w:rsidRPr="003A699B">
        <w:rPr>
          <w:rFonts w:hint="cs"/>
          <w:rtl/>
        </w:rPr>
        <w:t xml:space="preserve"> מורים ומצווים את העם מעיקרא, אלא מקבלים את המנהג הנהוג כדבר של חיוב, ונוהגים ככה בעצם מבלי שיורו אותו מעיקרא. (רשימות שיעורים על סוכה מ"ד ע"ב)</w:t>
      </w:r>
      <w:r w:rsidRPr="003A699B">
        <w:rPr>
          <w:rFonts w:hint="cs"/>
        </w:rPr>
        <w:t xml:space="preserve"> </w:t>
      </w:r>
    </w:p>
    <w:p w14:paraId="035DD9EE" w14:textId="77777777" w:rsidR="003A699B" w:rsidRPr="003A699B" w:rsidRDefault="003A699B" w:rsidP="003A699B">
      <w:pPr>
        <w:rPr>
          <w:rtl/>
        </w:rPr>
      </w:pPr>
      <w:proofErr w:type="spellStart"/>
      <w:r w:rsidRPr="003A699B">
        <w:rPr>
          <w:rFonts w:hint="cs"/>
          <w:rtl/>
        </w:rPr>
        <w:t>הגרי"ד</w:t>
      </w:r>
      <w:proofErr w:type="spellEnd"/>
      <w:r w:rsidRPr="003A699B">
        <w:rPr>
          <w:rFonts w:hint="cs"/>
          <w:rtl/>
        </w:rPr>
        <w:t xml:space="preserve"> מסביר שבתקנות חז"ל העם מציית לחז"ל, להם הוענקה סמכות א-להית לתקן תקנות.</w:t>
      </w:r>
      <w:r w:rsidRPr="003A699B">
        <w:rPr>
          <w:vertAlign w:val="superscript"/>
          <w:rtl/>
        </w:rPr>
        <w:footnoteReference w:id="14"/>
      </w:r>
      <w:r w:rsidRPr="003A699B">
        <w:rPr>
          <w:rFonts w:hint="cs"/>
          <w:rtl/>
        </w:rPr>
        <w:t xml:space="preserve"> במנהגים, לעומת זאת, חז"ל מאשרים יוזמה שמגיעה מהעם. עלינו להמשיך ולנהוג על פי המנהג מתוך מחויבות לכנסת ישראל, אשר קיבלה על עצמה את קיום המנהג. אמנם שני הדברים, גם הציות לתקנות וגם קיום </w:t>
      </w:r>
      <w:proofErr w:type="spellStart"/>
      <w:r w:rsidRPr="003A699B">
        <w:rPr>
          <w:rFonts w:hint="cs"/>
          <w:rtl/>
        </w:rPr>
        <w:t>המנהגות</w:t>
      </w:r>
      <w:proofErr w:type="spellEnd"/>
      <w:r w:rsidRPr="003A699B">
        <w:rPr>
          <w:rFonts w:hint="cs"/>
          <w:rtl/>
        </w:rPr>
        <w:t xml:space="preserve">, נלמדים מאותם הפסוקים, אבל ביסודם שונים הם זה מזה. </w:t>
      </w:r>
    </w:p>
    <w:p w14:paraId="427E31AA" w14:textId="77777777" w:rsidR="003A699B" w:rsidRPr="003A699B" w:rsidRDefault="003A699B" w:rsidP="003A699B">
      <w:pPr>
        <w:rPr>
          <w:rtl/>
        </w:rPr>
      </w:pPr>
      <w:r w:rsidRPr="003A699B">
        <w:rPr>
          <w:rFonts w:hint="cs"/>
          <w:rtl/>
        </w:rPr>
        <w:t xml:space="preserve">מו"ר </w:t>
      </w:r>
      <w:proofErr w:type="spellStart"/>
      <w:r w:rsidRPr="003A699B">
        <w:rPr>
          <w:rFonts w:hint="cs"/>
          <w:rtl/>
        </w:rPr>
        <w:t>הרא"ל</w:t>
      </w:r>
      <w:proofErr w:type="spellEnd"/>
      <w:r w:rsidRPr="003A699B">
        <w:rPr>
          <w:rFonts w:hint="cs"/>
          <w:rtl/>
        </w:rPr>
        <w:t xml:space="preserve"> זצ"ל ביאר בשם </w:t>
      </w:r>
      <w:proofErr w:type="spellStart"/>
      <w:r w:rsidRPr="003A699B">
        <w:rPr>
          <w:rFonts w:hint="cs"/>
          <w:rtl/>
        </w:rPr>
        <w:t>הגרי"ד</w:t>
      </w:r>
      <w:proofErr w:type="spellEnd"/>
      <w:r w:rsidRPr="003A699B">
        <w:rPr>
          <w:rFonts w:hint="cs"/>
          <w:rtl/>
        </w:rPr>
        <w:t xml:space="preserve"> שלסנהדרין ישנם שני תפקידים:</w:t>
      </w:r>
    </w:p>
    <w:p w14:paraId="7E44150E" w14:textId="77777777" w:rsidR="003A699B" w:rsidRPr="003A699B" w:rsidRDefault="003A699B" w:rsidP="000A424C">
      <w:pPr>
        <w:numPr>
          <w:ilvl w:val="0"/>
          <w:numId w:val="24"/>
        </w:numPr>
        <w:spacing w:after="0"/>
      </w:pPr>
      <w:r w:rsidRPr="003A699B">
        <w:rPr>
          <w:rFonts w:hint="cs"/>
          <w:rtl/>
        </w:rPr>
        <w:lastRenderedPageBreak/>
        <w:t>"בית הדין הגדול אחראי על שמירת המסורת של תורה שבעל פה והנחלתה לדורות הבאים. אחריות זו מחייבת את בית הדין להכריע בפירוש התורה ובקביעה ההלכה".</w:t>
      </w:r>
    </w:p>
    <w:p w14:paraId="14E8B32C" w14:textId="77777777" w:rsidR="003A699B" w:rsidRPr="003A699B" w:rsidRDefault="003A699B" w:rsidP="003A699B">
      <w:pPr>
        <w:numPr>
          <w:ilvl w:val="0"/>
          <w:numId w:val="24"/>
        </w:numPr>
      </w:pPr>
      <w:r w:rsidRPr="003A699B">
        <w:rPr>
          <w:rFonts w:hint="cs"/>
          <w:rtl/>
        </w:rPr>
        <w:t>"בית הדין הגדול הוא נציג של כנסת ישראל".</w:t>
      </w:r>
      <w:r w:rsidRPr="003A699B">
        <w:rPr>
          <w:vertAlign w:val="superscript"/>
          <w:rtl/>
        </w:rPr>
        <w:footnoteReference w:id="15"/>
      </w:r>
    </w:p>
    <w:p w14:paraId="3E2E66D7" w14:textId="2D075266" w:rsidR="003A699B" w:rsidRPr="003A699B" w:rsidRDefault="003A699B" w:rsidP="003A699B">
      <w:pPr>
        <w:rPr>
          <w:rtl/>
        </w:rPr>
      </w:pPr>
      <w:r w:rsidRPr="003A699B">
        <w:rPr>
          <w:rFonts w:hint="cs"/>
          <w:rtl/>
        </w:rPr>
        <w:t>ייתכן שאת התקנות יש לקיים מכוח תפקידו של בית הדין הגדול כבא-כוחו של הקב"ה. לעומת זאת, את המנהגים יש לקיים, מכוח הגושפנקא שנתן למנהג כנציגו של עם ישראל. לאור זאת, ניתן לומר שהברכות תוקנו רק על חיובים שהגיעו "מלמעלה", בהם על האדם להכיר בכך שהמעשה שנעשה קשור לסמכות הא-להית שניתנה לחז"ל. על מנהגים, שהם פרי יוזמה ומעשה אנושיים המבטאים את אהבתה של כנסת ישראל לבוראה, אין צורך לתקן ברכה.</w:t>
      </w:r>
      <w:r w:rsidRPr="003A699B">
        <w:rPr>
          <w:vertAlign w:val="superscript"/>
          <w:rtl/>
        </w:rPr>
        <w:footnoteReference w:id="16"/>
      </w:r>
      <w:r w:rsidRPr="003A699B">
        <w:rPr>
          <w:vertAlign w:val="superscript"/>
          <w:rtl/>
        </w:rPr>
        <w:t>,</w:t>
      </w:r>
      <w:r w:rsidRPr="003A699B">
        <w:rPr>
          <w:vertAlign w:val="superscript"/>
          <w:rtl/>
        </w:rPr>
        <w:footnoteReference w:id="17"/>
      </w:r>
      <w:r w:rsidRPr="003A699B">
        <w:rPr>
          <w:rFonts w:hint="cs"/>
          <w:rtl/>
        </w:rPr>
        <w:t xml:space="preserve"> אמנם, גם המנהגים כלולים בציוויים של "לא תסור", אבל נראה שבמהותם הם מבטאים מחויבות שונה לחלוטין. קיום המצוות מדרבנן הוא הרחבה לקיום מצוות ה'. קיום המנהגים נובע </w:t>
      </w:r>
      <w:r w:rsidR="00CC151A">
        <w:rPr>
          <w:rFonts w:hint="cs"/>
          <w:rtl/>
        </w:rPr>
        <w:t xml:space="preserve">מהמחויבות </w:t>
      </w:r>
      <w:r w:rsidRPr="003A699B">
        <w:rPr>
          <w:rFonts w:hint="cs"/>
          <w:rtl/>
        </w:rPr>
        <w:t>לעם ישראל, שגם עליה הקב"ה מצווה אותנו.</w:t>
      </w:r>
    </w:p>
    <w:p w14:paraId="152C275E" w14:textId="77777777" w:rsidR="003A699B" w:rsidRPr="003A699B" w:rsidRDefault="003A699B" w:rsidP="003A699B">
      <w:pPr>
        <w:rPr>
          <w:rtl/>
        </w:rPr>
      </w:pPr>
      <w:r w:rsidRPr="003A699B">
        <w:rPr>
          <w:rFonts w:hint="cs"/>
          <w:rtl/>
        </w:rPr>
        <w:t xml:space="preserve">לעיל אמרנו שייתכן שהסברו של רש"י אינו טכני בלבד, ומתייחסת לנוסח הברכה "וציוונו" – אלא מהותית, קרי: דווקא על </w:t>
      </w:r>
      <w:r w:rsidRPr="003A699B">
        <w:rPr>
          <w:rFonts w:hint="eastAsia"/>
          <w:b/>
          <w:bCs/>
          <w:rtl/>
        </w:rPr>
        <w:t>מצוות</w:t>
      </w:r>
      <w:r w:rsidRPr="003A699B">
        <w:rPr>
          <w:rFonts w:hint="cs"/>
          <w:rtl/>
        </w:rPr>
        <w:t xml:space="preserve"> חכמים יש לברך, ומנהג, שאין עליו ציווי, אין לברך עליו. לפי דברינו (לאור שיטת </w:t>
      </w:r>
      <w:proofErr w:type="spellStart"/>
      <w:r w:rsidRPr="003A699B">
        <w:rPr>
          <w:rFonts w:hint="cs"/>
          <w:rtl/>
        </w:rPr>
        <w:t>הגרי"ז</w:t>
      </w:r>
      <w:proofErr w:type="spellEnd"/>
      <w:r w:rsidRPr="003A699B">
        <w:rPr>
          <w:rFonts w:hint="cs"/>
          <w:rtl/>
        </w:rPr>
        <w:t>)</w:t>
      </w:r>
      <w:r w:rsidRPr="003A699B">
        <w:rPr>
          <w:rFonts w:hint="cs"/>
        </w:rPr>
        <w:t xml:space="preserve"> </w:t>
      </w:r>
      <w:r w:rsidRPr="003A699B">
        <w:rPr>
          <w:rFonts w:hint="cs"/>
          <w:rtl/>
        </w:rPr>
        <w:t>דברים אלה מובנים: הברכה תוקנה על מילוי צו ה', אך לא על קיום יוזמותיה הברוכות של כנסת ישראל.</w:t>
      </w:r>
    </w:p>
    <w:p w14:paraId="59EEEBC8" w14:textId="3DE45830" w:rsidR="003A699B" w:rsidRPr="003A699B" w:rsidRDefault="003A699B" w:rsidP="003A699B">
      <w:pPr>
        <w:jc w:val="center"/>
        <w:rPr>
          <w:rtl/>
        </w:rPr>
      </w:pPr>
      <w:r>
        <w:rPr>
          <w:rFonts w:hint="cs"/>
          <w:rtl/>
        </w:rPr>
        <w:t>***</w:t>
      </w:r>
    </w:p>
    <w:p w14:paraId="3DD83F0F" w14:textId="77777777" w:rsidR="003A699B" w:rsidRPr="003A699B" w:rsidRDefault="003A699B" w:rsidP="003A699B">
      <w:pPr>
        <w:rPr>
          <w:rtl/>
        </w:rPr>
      </w:pPr>
      <w:r w:rsidRPr="003A699B">
        <w:rPr>
          <w:rFonts w:hint="cs"/>
          <w:rtl/>
        </w:rPr>
        <w:t>עד כאן ביארנו את השיטות לפיהן אין לברך על מנהגים. הסברנו שההבדל העקרוני בין מנהג לתקנה הוא הגורם להבדל ההלכתי ביניהם, שעל תקנות ומצוות מברכים, ועל מנהגים לא.</w:t>
      </w:r>
    </w:p>
    <w:p w14:paraId="2118E61A" w14:textId="0CE43530" w:rsidR="00FB5C8E" w:rsidRPr="00FB5C8E" w:rsidRDefault="003A699B" w:rsidP="003A699B">
      <w:pPr>
        <w:rPr>
          <w:rtl/>
        </w:rPr>
      </w:pPr>
      <w:r w:rsidRPr="003A699B">
        <w:rPr>
          <w:rFonts w:hint="cs"/>
          <w:rtl/>
        </w:rPr>
        <w:t xml:space="preserve">בשיעור הבא נעיין </w:t>
      </w:r>
      <w:proofErr w:type="spellStart"/>
      <w:r w:rsidRPr="003A699B">
        <w:rPr>
          <w:rFonts w:hint="cs"/>
          <w:rtl/>
        </w:rPr>
        <w:t>בעז"ה</w:t>
      </w:r>
      <w:proofErr w:type="spellEnd"/>
      <w:r w:rsidRPr="003A699B">
        <w:rPr>
          <w:rFonts w:hint="cs"/>
          <w:rtl/>
        </w:rPr>
        <w:t xml:space="preserve"> בשיטות הראשונים הסבורים שמברכים על מנהגים, ונצלול לפולמוסים נקודתיים יותר הנוגעים למנהגים שונים.</w:t>
      </w:r>
      <w:bookmarkStart w:id="2" w:name="_Hlk150295205"/>
    </w:p>
    <w:tbl>
      <w:tblPr>
        <w:tblpPr w:leftFromText="180" w:rightFromText="180" w:vertAnchor="text" w:horzAnchor="margin" w:tblpY="-31"/>
        <w:bidiVisual/>
        <w:tblW w:w="4678" w:type="dxa"/>
        <w:tblLayout w:type="fixed"/>
        <w:tblLook w:val="0000" w:firstRow="0" w:lastRow="0" w:firstColumn="0" w:lastColumn="0" w:noHBand="0" w:noVBand="0"/>
      </w:tblPr>
      <w:tblGrid>
        <w:gridCol w:w="283"/>
        <w:gridCol w:w="4111"/>
        <w:gridCol w:w="284"/>
      </w:tblGrid>
      <w:tr w:rsidR="00FB5C8E" w14:paraId="2E8FCB10" w14:textId="77777777" w:rsidTr="00FB5C8E">
        <w:tc>
          <w:tcPr>
            <w:tcW w:w="283" w:type="dxa"/>
            <w:tcBorders>
              <w:top w:val="nil"/>
              <w:left w:val="nil"/>
              <w:bottom w:val="nil"/>
              <w:right w:val="nil"/>
            </w:tcBorders>
          </w:tcPr>
          <w:p w14:paraId="559CA77C" w14:textId="77777777" w:rsidR="00FB5C8E" w:rsidRDefault="00FB5C8E" w:rsidP="00FB5C8E">
            <w:pPr>
              <w:autoSpaceDE/>
              <w:autoSpaceDN/>
              <w:bidi w:val="0"/>
              <w:spacing w:after="160" w:line="259" w:lineRule="auto"/>
              <w:jc w:val="left"/>
              <w:rPr>
                <w:rtl/>
              </w:rPr>
            </w:pPr>
          </w:p>
        </w:tc>
        <w:tc>
          <w:tcPr>
            <w:tcW w:w="4111" w:type="dxa"/>
            <w:tcBorders>
              <w:top w:val="nil"/>
              <w:left w:val="nil"/>
              <w:bottom w:val="nil"/>
              <w:right w:val="nil"/>
            </w:tcBorders>
          </w:tcPr>
          <w:p w14:paraId="75D211CA" w14:textId="77777777" w:rsidR="00FB5C8E" w:rsidRDefault="00FB5C8E" w:rsidP="00FB5C8E">
            <w:pPr>
              <w:pStyle w:val="a0"/>
              <w:ind w:right="-227"/>
              <w:jc w:val="both"/>
              <w:rPr>
                <w:noProof w:val="0"/>
              </w:rPr>
            </w:pPr>
          </w:p>
        </w:tc>
        <w:tc>
          <w:tcPr>
            <w:tcW w:w="284" w:type="dxa"/>
            <w:tcBorders>
              <w:top w:val="nil"/>
              <w:left w:val="nil"/>
              <w:bottom w:val="nil"/>
              <w:right w:val="nil"/>
            </w:tcBorders>
          </w:tcPr>
          <w:p w14:paraId="1701791B" w14:textId="77777777" w:rsidR="00FB5C8E" w:rsidRDefault="00FB5C8E" w:rsidP="00FB5C8E">
            <w:pPr>
              <w:pStyle w:val="a0"/>
              <w:rPr>
                <w:noProof w:val="0"/>
              </w:rPr>
            </w:pPr>
          </w:p>
        </w:tc>
      </w:tr>
      <w:tr w:rsidR="00FB5C8E" w14:paraId="59CF9D78" w14:textId="77777777" w:rsidTr="00FB5C8E">
        <w:tc>
          <w:tcPr>
            <w:tcW w:w="283" w:type="dxa"/>
            <w:tcBorders>
              <w:top w:val="nil"/>
              <w:left w:val="nil"/>
              <w:bottom w:val="nil"/>
              <w:right w:val="nil"/>
            </w:tcBorders>
          </w:tcPr>
          <w:p w14:paraId="5D6DFEE0" w14:textId="77777777" w:rsidR="00FB5C8E" w:rsidRDefault="00FB5C8E" w:rsidP="00FB5C8E">
            <w:pPr>
              <w:pStyle w:val="a0"/>
              <w:rPr>
                <w:noProof w:val="0"/>
              </w:rPr>
            </w:pPr>
            <w:r>
              <w:rPr>
                <w:rtl/>
              </w:rPr>
              <w:tab/>
            </w:r>
          </w:p>
        </w:tc>
        <w:tc>
          <w:tcPr>
            <w:tcW w:w="4111" w:type="dxa"/>
            <w:tcBorders>
              <w:top w:val="nil"/>
              <w:left w:val="nil"/>
              <w:bottom w:val="nil"/>
              <w:right w:val="nil"/>
            </w:tcBorders>
          </w:tcPr>
          <w:p w14:paraId="5FD7BDF3" w14:textId="77777777" w:rsidR="00FB5C8E" w:rsidRDefault="00FB5C8E" w:rsidP="00FB5C8E">
            <w:pPr>
              <w:pStyle w:val="a0"/>
              <w:ind w:left="-170" w:right="-170"/>
              <w:rPr>
                <w:noProof w:val="0"/>
              </w:rPr>
            </w:pPr>
            <w:r>
              <w:rPr>
                <w:noProof w:val="0"/>
                <w:rtl/>
              </w:rPr>
              <w:t>***************************************************************</w:t>
            </w:r>
          </w:p>
        </w:tc>
        <w:tc>
          <w:tcPr>
            <w:tcW w:w="284" w:type="dxa"/>
            <w:tcBorders>
              <w:top w:val="nil"/>
              <w:left w:val="nil"/>
              <w:bottom w:val="nil"/>
              <w:right w:val="nil"/>
            </w:tcBorders>
          </w:tcPr>
          <w:p w14:paraId="729F06AA" w14:textId="77777777" w:rsidR="00FB5C8E" w:rsidRDefault="00FB5C8E" w:rsidP="00FB5C8E">
            <w:pPr>
              <w:pStyle w:val="a0"/>
              <w:rPr>
                <w:noProof w:val="0"/>
              </w:rPr>
            </w:pPr>
            <w:r>
              <w:rPr>
                <w:noProof w:val="0"/>
                <w:rtl/>
              </w:rPr>
              <w:t>*</w:t>
            </w:r>
          </w:p>
        </w:tc>
      </w:tr>
      <w:tr w:rsidR="00FB5C8E" w14:paraId="5526221C" w14:textId="77777777" w:rsidTr="00FB5C8E">
        <w:tc>
          <w:tcPr>
            <w:tcW w:w="283" w:type="dxa"/>
            <w:tcBorders>
              <w:top w:val="nil"/>
              <w:left w:val="nil"/>
              <w:bottom w:val="nil"/>
              <w:right w:val="nil"/>
            </w:tcBorders>
          </w:tcPr>
          <w:p w14:paraId="0CD8EC39" w14:textId="77777777" w:rsidR="00FB5C8E" w:rsidRDefault="00FB5C8E" w:rsidP="00FB5C8E">
            <w:pPr>
              <w:pStyle w:val="a0"/>
              <w:rPr>
                <w:noProof w:val="0"/>
              </w:rPr>
            </w:pPr>
            <w:r>
              <w:rPr>
                <w:noProof w:val="0"/>
                <w:rtl/>
              </w:rPr>
              <w:t>* * * * * * * * * *</w:t>
            </w:r>
          </w:p>
        </w:tc>
        <w:tc>
          <w:tcPr>
            <w:tcW w:w="4111" w:type="dxa"/>
            <w:tcBorders>
              <w:top w:val="nil"/>
              <w:left w:val="nil"/>
              <w:bottom w:val="nil"/>
              <w:right w:val="nil"/>
            </w:tcBorders>
          </w:tcPr>
          <w:p w14:paraId="78EB0232" w14:textId="77777777" w:rsidR="00FB5C8E" w:rsidRDefault="00FB5C8E" w:rsidP="00FB5C8E">
            <w:pPr>
              <w:pStyle w:val="a0"/>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6AC040E8" w14:textId="77777777" w:rsidR="00FB5C8E" w:rsidRPr="00C5614D" w:rsidRDefault="00FB5C8E" w:rsidP="00FB5C8E">
            <w:pPr>
              <w:pStyle w:val="a0"/>
              <w:rPr>
                <w:rFonts w:ascii="Times New Roman" w:hAnsi="Times New Roman" w:cs="Times New Roman"/>
                <w:noProof w:val="0"/>
                <w:rtl/>
              </w:rPr>
            </w:pPr>
            <w:r>
              <w:rPr>
                <w:rFonts w:hint="cs"/>
                <w:noProof w:val="0"/>
                <w:rtl/>
              </w:rPr>
              <w:t>עורך: יצחק שוה, ה'תשפ"ד</w:t>
            </w:r>
          </w:p>
          <w:p w14:paraId="6C86F126" w14:textId="77777777" w:rsidR="00FB5C8E" w:rsidRDefault="00FB5C8E" w:rsidP="00FB5C8E">
            <w:pPr>
              <w:pStyle w:val="a0"/>
              <w:rPr>
                <w:noProof w:val="0"/>
                <w:rtl/>
              </w:rPr>
            </w:pPr>
            <w:r>
              <w:rPr>
                <w:noProof w:val="0"/>
                <w:rtl/>
              </w:rPr>
              <w:t>*******************************************************</w:t>
            </w:r>
          </w:p>
          <w:p w14:paraId="0FDE3C17" w14:textId="77777777" w:rsidR="00FB5C8E" w:rsidRDefault="00FB5C8E" w:rsidP="00FB5C8E">
            <w:pPr>
              <w:pStyle w:val="a0"/>
              <w:rPr>
                <w:noProof w:val="0"/>
                <w:rtl/>
              </w:rPr>
            </w:pPr>
            <w:r>
              <w:rPr>
                <w:noProof w:val="0"/>
                <w:rtl/>
              </w:rPr>
              <w:t xml:space="preserve">בית המדרש </w:t>
            </w:r>
            <w:proofErr w:type="spellStart"/>
            <w:r>
              <w:rPr>
                <w:noProof w:val="0"/>
                <w:rtl/>
              </w:rPr>
              <w:t>הוירטואלי</w:t>
            </w:r>
            <w:proofErr w:type="spellEnd"/>
          </w:p>
          <w:p w14:paraId="5BB3E671" w14:textId="77777777" w:rsidR="00FB5C8E" w:rsidRDefault="00FB5C8E" w:rsidP="00FB5C8E">
            <w:pPr>
              <w:pStyle w:val="a0"/>
              <w:rPr>
                <w:noProof w:val="0"/>
                <w:rtl/>
              </w:rPr>
            </w:pPr>
            <w:r>
              <w:rPr>
                <w:rFonts w:hint="cs"/>
                <w:noProof w:val="0"/>
                <w:rtl/>
              </w:rPr>
              <w:t xml:space="preserve">מיסודו של </w:t>
            </w:r>
          </w:p>
          <w:p w14:paraId="1F9C5DB6" w14:textId="77777777" w:rsidR="00FB5C8E" w:rsidRDefault="00FB5C8E" w:rsidP="00FB5C8E">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CC3CEBB" w14:textId="77777777" w:rsidR="00FB5C8E" w:rsidRDefault="00FB5C8E" w:rsidP="00FB5C8E">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0EDEBDF1" w14:textId="77777777" w:rsidR="00FB5C8E" w:rsidRDefault="00FB5C8E" w:rsidP="00FB5C8E">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12299082" w14:textId="77777777" w:rsidR="00FB5C8E" w:rsidRDefault="00FB5C8E" w:rsidP="00FB5C8E">
            <w:pPr>
              <w:pStyle w:val="a0"/>
              <w:rPr>
                <w:noProof w:val="0"/>
                <w:rtl/>
              </w:rPr>
            </w:pPr>
          </w:p>
          <w:p w14:paraId="5F99896A" w14:textId="77777777" w:rsidR="00FB5C8E" w:rsidRDefault="00FB5C8E" w:rsidP="00FB5C8E">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0399E92" w14:textId="77777777" w:rsidR="00FB5C8E" w:rsidRDefault="00FB5C8E" w:rsidP="00FB5C8E">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5D851291" w14:textId="77777777" w:rsidR="00FB5C8E" w:rsidRDefault="00FB5C8E" w:rsidP="00FB5C8E">
            <w:pPr>
              <w:pStyle w:val="a0"/>
              <w:rPr>
                <w:noProof w:val="0"/>
                <w:rtl/>
              </w:rPr>
            </w:pPr>
            <w:r>
              <w:rPr>
                <w:noProof w:val="0"/>
                <w:rtl/>
              </w:rPr>
              <w:t xml:space="preserve">* * * * * * * * * * </w:t>
            </w:r>
          </w:p>
        </w:tc>
      </w:tr>
      <w:tr w:rsidR="00FB5C8E" w14:paraId="2B62B62D" w14:textId="77777777" w:rsidTr="00FB5C8E">
        <w:tc>
          <w:tcPr>
            <w:tcW w:w="283" w:type="dxa"/>
            <w:tcBorders>
              <w:top w:val="nil"/>
              <w:left w:val="nil"/>
              <w:bottom w:val="nil"/>
              <w:right w:val="nil"/>
            </w:tcBorders>
          </w:tcPr>
          <w:p w14:paraId="32F7796B" w14:textId="77777777" w:rsidR="00FB5C8E" w:rsidRDefault="00FB5C8E" w:rsidP="00FB5C8E">
            <w:pPr>
              <w:pStyle w:val="a0"/>
              <w:rPr>
                <w:noProof w:val="0"/>
              </w:rPr>
            </w:pPr>
            <w:r>
              <w:rPr>
                <w:noProof w:val="0"/>
                <w:rtl/>
              </w:rPr>
              <w:t>*</w:t>
            </w:r>
          </w:p>
        </w:tc>
        <w:tc>
          <w:tcPr>
            <w:tcW w:w="4111" w:type="dxa"/>
            <w:tcBorders>
              <w:top w:val="nil"/>
              <w:left w:val="nil"/>
              <w:bottom w:val="nil"/>
              <w:right w:val="nil"/>
            </w:tcBorders>
          </w:tcPr>
          <w:p w14:paraId="5AF9D144" w14:textId="77777777" w:rsidR="00FB5C8E" w:rsidRDefault="00FB5C8E" w:rsidP="00FB5C8E">
            <w:pPr>
              <w:pStyle w:val="a0"/>
              <w:ind w:left="-227" w:right="-227"/>
              <w:rPr>
                <w:noProof w:val="0"/>
              </w:rPr>
            </w:pPr>
            <w:r>
              <w:rPr>
                <w:noProof w:val="0"/>
                <w:rtl/>
              </w:rPr>
              <w:t>***************************************************************</w:t>
            </w:r>
          </w:p>
        </w:tc>
        <w:tc>
          <w:tcPr>
            <w:tcW w:w="284" w:type="dxa"/>
            <w:tcBorders>
              <w:top w:val="nil"/>
              <w:left w:val="nil"/>
              <w:bottom w:val="nil"/>
              <w:right w:val="nil"/>
            </w:tcBorders>
          </w:tcPr>
          <w:p w14:paraId="3CDDFDE9" w14:textId="77777777" w:rsidR="00FB5C8E" w:rsidRDefault="00FB5C8E" w:rsidP="00FB5C8E">
            <w:pPr>
              <w:pStyle w:val="a0"/>
              <w:rPr>
                <w:noProof w:val="0"/>
                <w:rtl/>
              </w:rPr>
            </w:pPr>
            <w:r>
              <w:rPr>
                <w:noProof w:val="0"/>
                <w:rtl/>
              </w:rPr>
              <w:t>*</w:t>
            </w:r>
          </w:p>
        </w:tc>
      </w:tr>
    </w:tbl>
    <w:p w14:paraId="6E14FC74" w14:textId="25AFA43E" w:rsidR="00F5731D" w:rsidRPr="00BA4EFA" w:rsidRDefault="00F5731D" w:rsidP="006105FF">
      <w:pPr>
        <w:pStyle w:val="I0"/>
        <w:spacing w:line="276" w:lineRule="auto"/>
        <w:rPr>
          <w:rFonts w:ascii="Times New Roman" w:eastAsia="Times New Roman" w:hAnsi="Times New Roman" w:cs="Narkisim"/>
          <w:b w:val="0"/>
          <w:bCs w:val="0"/>
          <w:sz w:val="20"/>
          <w:szCs w:val="24"/>
          <w:rtl/>
        </w:rPr>
      </w:pPr>
    </w:p>
    <w:bookmarkEnd w:id="2"/>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1AC4" w14:textId="77777777" w:rsidR="00ED121B" w:rsidRDefault="00ED121B" w:rsidP="005F7985">
      <w:pPr>
        <w:spacing w:after="0" w:line="240" w:lineRule="auto"/>
      </w:pPr>
      <w:r>
        <w:separator/>
      </w:r>
    </w:p>
  </w:endnote>
  <w:endnote w:type="continuationSeparator" w:id="0">
    <w:p w14:paraId="4670DF51" w14:textId="77777777" w:rsidR="00ED121B" w:rsidRDefault="00ED121B" w:rsidP="005F7985">
      <w:pPr>
        <w:spacing w:after="0" w:line="240" w:lineRule="auto"/>
      </w:pPr>
      <w:r>
        <w:continuationSeparator/>
      </w:r>
    </w:p>
  </w:endnote>
  <w:endnote w:type="continuationNotice" w:id="1">
    <w:p w14:paraId="2D0C419A" w14:textId="77777777" w:rsidR="00ED121B" w:rsidRDefault="00ED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8F5C" w14:textId="77777777" w:rsidR="00ED121B" w:rsidRDefault="00ED121B" w:rsidP="005F7985">
      <w:pPr>
        <w:spacing w:after="0" w:line="240" w:lineRule="auto"/>
      </w:pPr>
      <w:r>
        <w:separator/>
      </w:r>
    </w:p>
  </w:footnote>
  <w:footnote w:type="continuationSeparator" w:id="0">
    <w:p w14:paraId="6F786A90" w14:textId="77777777" w:rsidR="00ED121B" w:rsidRDefault="00ED121B" w:rsidP="005F7985">
      <w:pPr>
        <w:spacing w:after="0" w:line="240" w:lineRule="auto"/>
      </w:pPr>
      <w:r>
        <w:continuationSeparator/>
      </w:r>
    </w:p>
  </w:footnote>
  <w:footnote w:type="continuationNotice" w:id="1">
    <w:p w14:paraId="18F46908" w14:textId="77777777" w:rsidR="00ED121B" w:rsidRDefault="00ED121B">
      <w:pPr>
        <w:spacing w:after="0" w:line="240" w:lineRule="auto"/>
      </w:pPr>
    </w:p>
  </w:footnote>
  <w:footnote w:id="2">
    <w:p w14:paraId="6EAB083F" w14:textId="77777777" w:rsidR="00052EE8" w:rsidRDefault="00052EE8"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אבחנה זו משתמעת גם מדברי רבינו חננאל על אתר. </w:t>
      </w:r>
      <w:proofErr w:type="spellStart"/>
      <w:r>
        <w:rPr>
          <w:rFonts w:hint="cs"/>
          <w:rtl/>
        </w:rPr>
        <w:t>הריטב"א</w:t>
      </w:r>
      <w:proofErr w:type="spellEnd"/>
      <w:r>
        <w:rPr>
          <w:rFonts w:hint="cs"/>
          <w:rtl/>
        </w:rPr>
        <w:t xml:space="preserve"> והמאירי מסבירים את "מנהג נביאים" באופן אחר. לדבריהם, הנביאים נהגו בעצמם, והעם, ביוזמה עצמאית, החליטו לנהוג כמו הנביאים. המאירי מסביר אף את "יסוד נביאים" באופן שונה – לדעתו הכוונה היא ל"מנהג דרך תקנה". נראה שלדעתו "מנהג נביאים"</w:t>
      </w:r>
      <w:r>
        <w:rPr>
          <w:rFonts w:hint="cs"/>
        </w:rPr>
        <w:t xml:space="preserve"> </w:t>
      </w:r>
      <w:r>
        <w:t xml:space="preserve"> </w:t>
      </w:r>
      <w:r>
        <w:rPr>
          <w:rFonts w:hint="cs"/>
          <w:rtl/>
        </w:rPr>
        <w:t xml:space="preserve">שרש"י  מתאר הוא בעצם "יסוד נביאים". </w:t>
      </w:r>
      <w:proofErr w:type="spellStart"/>
      <w:r>
        <w:rPr>
          <w:rFonts w:hint="cs"/>
          <w:rtl/>
        </w:rPr>
        <w:t>בעז"ה</w:t>
      </w:r>
      <w:proofErr w:type="spellEnd"/>
      <w:r>
        <w:rPr>
          <w:rFonts w:hint="cs"/>
          <w:rtl/>
        </w:rPr>
        <w:t xml:space="preserve"> נרחיב בכך בשיעור הבא.</w:t>
      </w:r>
    </w:p>
  </w:footnote>
  <w:footnote w:id="3">
    <w:p w14:paraId="32685126" w14:textId="77777777" w:rsidR="00052EE8" w:rsidRDefault="00052EE8" w:rsidP="005C01A0">
      <w:pPr>
        <w:pStyle w:val="FootnoteText"/>
        <w:ind w:left="0" w:firstLine="0"/>
        <w:rPr>
          <w:rtl/>
        </w:rPr>
      </w:pPr>
      <w:r w:rsidRPr="008F7874">
        <w:rPr>
          <w:rStyle w:val="FootnoteReference"/>
          <w:vertAlign w:val="superscript"/>
        </w:rPr>
        <w:footnoteRef/>
      </w:r>
      <w:r>
        <w:rPr>
          <w:rtl/>
        </w:rPr>
        <w:t xml:space="preserve"> </w:t>
      </w:r>
      <w:r w:rsidRPr="00820EC6">
        <w:rPr>
          <w:rFonts w:hint="cs"/>
          <w:rtl/>
        </w:rPr>
        <w:t xml:space="preserve">מבחינה לוגית, אין הכרח לומר את הכיוון ההפוך. כלומר, אם היו מברכים, </w:t>
      </w:r>
      <w:r>
        <w:rPr>
          <w:rFonts w:hint="cs"/>
          <w:rtl/>
        </w:rPr>
        <w:t>לא הייתה הוכחה שדעתם "יסוד נביאים", כי ייתכן שלדעתם מברכים על מנהג.</w:t>
      </w:r>
    </w:p>
  </w:footnote>
  <w:footnote w:id="4">
    <w:p w14:paraId="341991F8" w14:textId="77777777" w:rsidR="00203552" w:rsidRDefault="00203552" w:rsidP="005C01A0">
      <w:pPr>
        <w:pStyle w:val="FootnoteText"/>
        <w:ind w:left="0" w:firstLine="0"/>
        <w:rPr>
          <w:rtl/>
        </w:rPr>
      </w:pPr>
      <w:r w:rsidRPr="008F7874">
        <w:rPr>
          <w:vertAlign w:val="superscript"/>
        </w:rPr>
        <w:t xml:space="preserve"> </w:t>
      </w:r>
      <w:r>
        <w:rPr>
          <w:rStyle w:val="FootnoteReference"/>
        </w:rPr>
        <w:footnoteRef/>
      </w:r>
      <w:r>
        <w:rPr>
          <w:rtl/>
        </w:rPr>
        <w:t xml:space="preserve"> </w:t>
      </w:r>
      <w:r>
        <w:rPr>
          <w:rFonts w:hint="cs"/>
          <w:rtl/>
        </w:rPr>
        <w:t>כמבואר בגמרא במסכת ערכין דף י' ע"א.</w:t>
      </w:r>
    </w:p>
  </w:footnote>
  <w:footnote w:id="5">
    <w:p w14:paraId="5401AE62" w14:textId="77777777" w:rsidR="00203552" w:rsidRDefault="00203552" w:rsidP="005C01A0">
      <w:pPr>
        <w:pStyle w:val="FootnoteText"/>
        <w:ind w:left="0" w:firstLine="0"/>
      </w:pPr>
      <w:r w:rsidRPr="008F7874">
        <w:rPr>
          <w:rStyle w:val="FootnoteReference"/>
          <w:vertAlign w:val="superscript"/>
        </w:rPr>
        <w:footnoteRef/>
      </w:r>
      <w:r>
        <w:rPr>
          <w:rtl/>
        </w:rPr>
        <w:t xml:space="preserve"> </w:t>
      </w:r>
      <w:r>
        <w:rPr>
          <w:rFonts w:hint="cs"/>
          <w:rtl/>
        </w:rPr>
        <w:t xml:space="preserve">תוספות לא ביארו במפורש כיצד הסיפור מוכיח שאין מברכים על המנהג. האחרונים נחלקו בכך – עיינו "עוד יוסף חי", "משמרות כהונה" ו"פרחי כהונה" על אתר. </w:t>
      </w:r>
      <w:proofErr w:type="spellStart"/>
      <w:r>
        <w:rPr>
          <w:rFonts w:hint="cs"/>
          <w:rtl/>
        </w:rPr>
        <w:t>הרש"ש</w:t>
      </w:r>
      <w:proofErr w:type="spellEnd"/>
      <w:r>
        <w:rPr>
          <w:rFonts w:hint="cs"/>
          <w:rtl/>
        </w:rPr>
        <w:t xml:space="preserve"> משנה את </w:t>
      </w:r>
      <w:proofErr w:type="spellStart"/>
      <w:r>
        <w:rPr>
          <w:rFonts w:hint="cs"/>
          <w:rtl/>
        </w:rPr>
        <w:t>גירסת</w:t>
      </w:r>
      <w:proofErr w:type="spellEnd"/>
      <w:r>
        <w:rPr>
          <w:rFonts w:hint="cs"/>
          <w:rtl/>
        </w:rPr>
        <w:t xml:space="preserve"> </w:t>
      </w:r>
      <w:proofErr w:type="spellStart"/>
      <w:r>
        <w:rPr>
          <w:rFonts w:hint="cs"/>
          <w:rtl/>
        </w:rPr>
        <w:t>התוס</w:t>
      </w:r>
      <w:proofErr w:type="spellEnd"/>
      <w:r>
        <w:rPr>
          <w:rFonts w:hint="cs"/>
          <w:rtl/>
        </w:rPr>
        <w:t>' וטוען שאין לגרוס "מהכא", כי באמת לא ניתן להוכיח מסיפור זה שאין לברך, אלא לכל היותר שאין ממנו ראיה לכאן או לכאן כי ייתכן שרב איחר להלל.</w:t>
      </w:r>
    </w:p>
  </w:footnote>
  <w:footnote w:id="6">
    <w:p w14:paraId="7940AE69" w14:textId="77777777" w:rsidR="006447A3" w:rsidRDefault="006447A3"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אמנם </w:t>
      </w:r>
      <w:proofErr w:type="spellStart"/>
      <w:r>
        <w:rPr>
          <w:rFonts w:hint="cs"/>
          <w:rtl/>
        </w:rPr>
        <w:t>תוס</w:t>
      </w:r>
      <w:proofErr w:type="spellEnd"/>
      <w:r>
        <w:rPr>
          <w:rFonts w:hint="cs"/>
          <w:rtl/>
        </w:rPr>
        <w:t xml:space="preserve">' עצמם אומרים מיד לאחר מכן שאין ראיה מיו"ט שני של גלויות, כי אין ברכה המשתמשת בנוסח "וציוונו", אלא רק קידוש והזכרת קדושת היום בברכת המזון. דבריהם קשים, כי בברכת ההלל ביו"ט שני של פסח, וכן בברכות המצה והמרור בליל הסדר השני אומרים "וציוונו"! ועיינו רע"א על אתר שחילק בין ברכת המצוות בנוסח "ל" לבין נוסח "על", שאולי אין כ"כ קושי מהאחרון. לעומתו, </w:t>
      </w:r>
      <w:proofErr w:type="spellStart"/>
      <w:r>
        <w:rPr>
          <w:rFonts w:hint="cs"/>
          <w:rtl/>
        </w:rPr>
        <w:t>הנצי"ב</w:t>
      </w:r>
      <w:proofErr w:type="spellEnd"/>
      <w:r>
        <w:rPr>
          <w:rFonts w:hint="cs"/>
          <w:rtl/>
        </w:rPr>
        <w:t xml:space="preserve"> ב"מרומי שדה" הבחין בין יו"ט שני של פסח שהוא מתורת תקנה, לעומת יו"ט שני של סוכות ושל שמיני עצרת שהוא מתורת מנהג, ואכמ"ל.</w:t>
      </w:r>
    </w:p>
  </w:footnote>
  <w:footnote w:id="7">
    <w:p w14:paraId="76A10FFF"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אכן, לשיטת רש"י יש לדון במקור החיוב לנהוג על פי מנהגים, ואכמ"ל.</w:t>
      </w:r>
    </w:p>
  </w:footnote>
  <w:footnote w:id="8">
    <w:p w14:paraId="1BEF8FFE" w14:textId="77777777" w:rsidR="003A699B" w:rsidRDefault="003A699B" w:rsidP="005C01A0">
      <w:pPr>
        <w:pStyle w:val="FootnoteText"/>
        <w:ind w:left="0" w:firstLine="0"/>
      </w:pPr>
      <w:r w:rsidRPr="008F7874">
        <w:rPr>
          <w:rStyle w:val="FootnoteReference"/>
          <w:vertAlign w:val="superscript"/>
        </w:rPr>
        <w:footnoteRef/>
      </w:r>
      <w:r>
        <w:rPr>
          <w:rtl/>
        </w:rPr>
        <w:t xml:space="preserve"> </w:t>
      </w:r>
      <w:r>
        <w:rPr>
          <w:rFonts w:hint="cs"/>
          <w:rtl/>
        </w:rPr>
        <w:t>ניתוח דומה כתבנו ביחס לגמרא במסכת שבת כ"ג ע"א, ששאלה "והיכן ציוונו?" על הדלקת נר חנוכה אם ה' לא ציווה על כך. ביארנו שתיתכן קריאה 'טכנית', שאם אין ציווי אי אפשר לומר "וציוונו" אף על פי שהמצווה מצדה ראויה לברכה, או שמדובר באמירה מהותית שדווקא על ציווי ראוי לברך.</w:t>
      </w:r>
    </w:p>
  </w:footnote>
  <w:footnote w:id="9">
    <w:p w14:paraId="5073BB8B"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רשימות שיעורים </w:t>
      </w:r>
      <w:proofErr w:type="spellStart"/>
      <w:r>
        <w:rPr>
          <w:rFonts w:hint="cs"/>
          <w:rtl/>
        </w:rPr>
        <w:t>לגרי"ד</w:t>
      </w:r>
      <w:proofErr w:type="spellEnd"/>
      <w:r>
        <w:rPr>
          <w:rFonts w:hint="cs"/>
          <w:rtl/>
        </w:rPr>
        <w:t xml:space="preserve"> </w:t>
      </w:r>
      <w:proofErr w:type="spellStart"/>
      <w:r>
        <w:rPr>
          <w:rFonts w:hint="cs"/>
          <w:rtl/>
        </w:rPr>
        <w:t>סולובייצ'יק</w:t>
      </w:r>
      <w:proofErr w:type="spellEnd"/>
      <w:r>
        <w:rPr>
          <w:rFonts w:hint="cs"/>
          <w:rtl/>
        </w:rPr>
        <w:t xml:space="preserve"> למסכת סוכה מ"ד ע"ב ד"ה "ברם לאמתם".</w:t>
      </w:r>
    </w:p>
  </w:footnote>
  <w:footnote w:id="10">
    <w:p w14:paraId="02EEAD26"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הלכות ברכות פרק י"א הלכה ג': "וכן כל המצוות שהן מדברי סופרים... מברך על </w:t>
      </w:r>
      <w:proofErr w:type="spellStart"/>
      <w:r>
        <w:rPr>
          <w:rFonts w:hint="cs"/>
          <w:rtl/>
        </w:rPr>
        <w:t>הכל</w:t>
      </w:r>
      <w:proofErr w:type="spellEnd"/>
      <w:r>
        <w:rPr>
          <w:rFonts w:hint="cs"/>
          <w:rtl/>
        </w:rPr>
        <w:t>... והיכן צוונו בתורה שכתוב בה 'אשר יאמרו לך תעשה'..."</w:t>
      </w:r>
    </w:p>
  </w:footnote>
  <w:footnote w:id="11">
    <w:p w14:paraId="06B31FC9" w14:textId="77777777" w:rsidR="003A699B" w:rsidRDefault="003A699B" w:rsidP="005C01A0">
      <w:pPr>
        <w:pStyle w:val="FootnoteText"/>
        <w:ind w:left="0" w:firstLine="0"/>
        <w:rPr>
          <w:rtl/>
        </w:rPr>
      </w:pPr>
      <w:r w:rsidRPr="008F7874">
        <w:rPr>
          <w:rStyle w:val="FootnoteReference"/>
          <w:vertAlign w:val="superscript"/>
        </w:rPr>
        <w:footnoteRef/>
      </w:r>
      <w:r>
        <w:t xml:space="preserve"> </w:t>
      </w:r>
      <w:r w:rsidRPr="00863783">
        <w:rPr>
          <w:rFonts w:hint="cs"/>
          <w:rtl/>
        </w:rPr>
        <w:t xml:space="preserve">למשל, בן חו"ל אינו </w:t>
      </w:r>
      <w:proofErr w:type="spellStart"/>
      <w:r w:rsidRPr="00863783">
        <w:rPr>
          <w:rFonts w:hint="cs"/>
          <w:rtl/>
        </w:rPr>
        <w:t>מחוייב</w:t>
      </w:r>
      <w:proofErr w:type="spellEnd"/>
      <w:r w:rsidRPr="00863783">
        <w:rPr>
          <w:rFonts w:hint="cs"/>
          <w:rtl/>
        </w:rPr>
        <w:t xml:space="preserve"> בו </w:t>
      </w:r>
      <w:r>
        <w:rPr>
          <w:rFonts w:hint="cs"/>
          <w:rtl/>
        </w:rPr>
        <w:t xml:space="preserve">כשהוא </w:t>
      </w:r>
      <w:r w:rsidRPr="00863783">
        <w:rPr>
          <w:rFonts w:hint="cs"/>
          <w:rtl/>
        </w:rPr>
        <w:t>בא"י, וש</w:t>
      </w:r>
      <w:r>
        <w:rPr>
          <w:rFonts w:hint="cs"/>
          <w:rtl/>
        </w:rPr>
        <w:t>ב</w:t>
      </w:r>
      <w:r w:rsidRPr="00863783">
        <w:rPr>
          <w:rFonts w:hint="cs"/>
          <w:rtl/>
        </w:rPr>
        <w:t xml:space="preserve">ן א"י אינו </w:t>
      </w:r>
      <w:proofErr w:type="spellStart"/>
      <w:r w:rsidRPr="00863783">
        <w:rPr>
          <w:rFonts w:hint="cs"/>
          <w:rtl/>
        </w:rPr>
        <w:t>מחוייב</w:t>
      </w:r>
      <w:proofErr w:type="spellEnd"/>
      <w:r w:rsidRPr="00863783">
        <w:rPr>
          <w:rFonts w:hint="cs"/>
          <w:rtl/>
        </w:rPr>
        <w:t xml:space="preserve"> בו </w:t>
      </w:r>
      <w:r>
        <w:rPr>
          <w:rFonts w:hint="cs"/>
          <w:rtl/>
        </w:rPr>
        <w:t xml:space="preserve">כשהוא </w:t>
      </w:r>
      <w:r w:rsidRPr="00863783">
        <w:rPr>
          <w:rFonts w:hint="cs"/>
          <w:rtl/>
        </w:rPr>
        <w:t>בחו"ל</w:t>
      </w:r>
      <w:r>
        <w:rPr>
          <w:rFonts w:hint="cs"/>
          <w:rtl/>
        </w:rPr>
        <w:t>, ועיינו עוד בדברי היד פשוטה.</w:t>
      </w:r>
    </w:p>
  </w:footnote>
  <w:footnote w:id="12">
    <w:p w14:paraId="20D7162C"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ועיינו דברי ירמיהו בהל' יו"ט פ"א </w:t>
      </w:r>
      <w:proofErr w:type="spellStart"/>
      <w:r>
        <w:rPr>
          <w:rFonts w:hint="cs"/>
          <w:rtl/>
        </w:rPr>
        <w:t>הכ"א</w:t>
      </w:r>
      <w:proofErr w:type="spellEnd"/>
      <w:r>
        <w:rPr>
          <w:rFonts w:hint="cs"/>
          <w:rtl/>
        </w:rPr>
        <w:t xml:space="preserve"> שעמד גם הוא על כפילות זו, והסביר ש"הוי מדרבנן גם כן", ושמשום כך מברכים על מצוות יו"ט שני.</w:t>
      </w:r>
    </w:p>
  </w:footnote>
  <w:footnote w:id="13">
    <w:p w14:paraId="767A59A4"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יש בדרך זו מן החידוש, שהרי אם תוכנה של הברכה אינו </w:t>
      </w:r>
      <w:proofErr w:type="spellStart"/>
      <w:r>
        <w:rPr>
          <w:rFonts w:hint="cs"/>
          <w:rtl/>
        </w:rPr>
        <w:t>מדוייק</w:t>
      </w:r>
      <w:proofErr w:type="spellEnd"/>
      <w:r>
        <w:rPr>
          <w:rFonts w:hint="cs"/>
          <w:rtl/>
        </w:rPr>
        <w:t xml:space="preserve">, איך ניתן לברכה רק מתוקף המנהג? על כן, נראה שצ"ל גם לשיטת </w:t>
      </w:r>
      <w:proofErr w:type="spellStart"/>
      <w:r>
        <w:rPr>
          <w:rFonts w:hint="cs"/>
          <w:rtl/>
        </w:rPr>
        <w:t>הקה"י</w:t>
      </w:r>
      <w:proofErr w:type="spellEnd"/>
      <w:r>
        <w:rPr>
          <w:rFonts w:hint="cs"/>
          <w:rtl/>
        </w:rPr>
        <w:t xml:space="preserve"> שאין בעיה עקרונית באמירה "וציוונו" על מנהגים, אלא שבאופן עקרוני אין ברכה על מנהגים כפי ביאור </w:t>
      </w:r>
      <w:proofErr w:type="spellStart"/>
      <w:r>
        <w:rPr>
          <w:rFonts w:hint="cs"/>
          <w:rtl/>
        </w:rPr>
        <w:t>הגרי"ז</w:t>
      </w:r>
      <w:proofErr w:type="spellEnd"/>
      <w:r>
        <w:rPr>
          <w:rFonts w:hint="cs"/>
          <w:rtl/>
        </w:rPr>
        <w:t>. במקרה דנן, כיוון שהברכה עצמה היא המנהג, ניתן לברך ואין בעיה בניסוח של "וציוונו".</w:t>
      </w:r>
    </w:p>
  </w:footnote>
  <w:footnote w:id="14">
    <w:p w14:paraId="4ECDE99B" w14:textId="77777777" w:rsidR="003A699B" w:rsidRDefault="003A699B" w:rsidP="005C01A0">
      <w:pPr>
        <w:pStyle w:val="FootnoteText"/>
        <w:ind w:left="0" w:firstLine="0"/>
      </w:pPr>
      <w:r w:rsidRPr="008F7874">
        <w:rPr>
          <w:rStyle w:val="FootnoteReference"/>
          <w:vertAlign w:val="superscript"/>
        </w:rPr>
        <w:footnoteRef/>
      </w:r>
      <w:r>
        <w:rPr>
          <w:rtl/>
        </w:rPr>
        <w:t xml:space="preserve"> </w:t>
      </w:r>
      <w:r>
        <w:rPr>
          <w:rFonts w:hint="cs"/>
          <w:rtl/>
        </w:rPr>
        <w:t>עיינו בביאורנו בשיטת הרמב"ם בשיעור הקודם לגבי ברכות במצוות דרבנן.</w:t>
      </w:r>
    </w:p>
  </w:footnote>
  <w:footnote w:id="15">
    <w:p w14:paraId="4C87B10E"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 xml:space="preserve">הציטוטים מתוך שיעורי </w:t>
      </w:r>
      <w:proofErr w:type="spellStart"/>
      <w:r>
        <w:rPr>
          <w:rFonts w:hint="cs"/>
          <w:rtl/>
        </w:rPr>
        <w:t>הרא"ל</w:t>
      </w:r>
      <w:proofErr w:type="spellEnd"/>
      <w:r>
        <w:rPr>
          <w:rFonts w:hint="cs"/>
          <w:rtl/>
        </w:rPr>
        <w:t xml:space="preserve"> למסכת הוריות: "מעמדו ותפקידיו של בית הדין הגדול", עמ' 22-23.</w:t>
      </w:r>
    </w:p>
  </w:footnote>
  <w:footnote w:id="16">
    <w:p w14:paraId="0CA04672" w14:textId="77777777" w:rsidR="003A699B" w:rsidRDefault="003A699B" w:rsidP="005C01A0">
      <w:pPr>
        <w:pStyle w:val="FootnoteText"/>
        <w:ind w:left="0" w:firstLine="0"/>
        <w:rPr>
          <w:rtl/>
        </w:rPr>
      </w:pPr>
      <w:r w:rsidRPr="008F7874">
        <w:rPr>
          <w:rStyle w:val="FootnoteReference"/>
          <w:vertAlign w:val="superscript"/>
        </w:rPr>
        <w:footnoteRef/>
      </w:r>
      <w:r>
        <w:rPr>
          <w:rtl/>
        </w:rPr>
        <w:t xml:space="preserve"> </w:t>
      </w:r>
      <w:r>
        <w:rPr>
          <w:rFonts w:hint="cs"/>
          <w:rtl/>
        </w:rPr>
        <w:t>דברים דומים העלנו בביאור השיטה האומרת שאין לברך על מצוות דרבנן, בסוף השיעור הקודם, עיי"ש.</w:t>
      </w:r>
    </w:p>
  </w:footnote>
  <w:footnote w:id="17">
    <w:p w14:paraId="7BBB4D84" w14:textId="77777777" w:rsidR="003A699B" w:rsidRPr="008F7874" w:rsidRDefault="003A699B" w:rsidP="005C01A0">
      <w:pPr>
        <w:pStyle w:val="FootnoteText"/>
        <w:ind w:left="0" w:firstLine="0"/>
        <w:rPr>
          <w:vertAlign w:val="superscript"/>
        </w:rPr>
      </w:pPr>
      <w:r w:rsidRPr="008F7874">
        <w:rPr>
          <w:rStyle w:val="FootnoteReference"/>
          <w:vertAlign w:val="superscript"/>
        </w:rPr>
        <w:footnoteRef/>
      </w:r>
      <w:r>
        <w:rPr>
          <w:rtl/>
        </w:rPr>
        <w:t xml:space="preserve"> </w:t>
      </w:r>
      <w:r>
        <w:rPr>
          <w:rFonts w:hint="cs"/>
          <w:rtl/>
        </w:rPr>
        <w:t>חילוק זה יכול להתבאר על פי כמה דרכים בהבנת ברכת המצוות. אם מדובר ב"מתיר", נראה שיוזמה אנושית איננה זקוקה למתיר. אם מדובר בשבח והודיה לקב"ה על כך שקירבנו לעבודתו, ייתכן שאין צורך בכך כאשר היוזמה היא לחלוטין אנושית. גם לפי ההסבר שמדובר בהכנה והתקדשות לקראת עשיית המצווה, ייתכן שאין צורך בכך כאשר מדובר בקיום יוזמתה של כנסת ישראל. אם מדובר בהודעה ובהכרזה שמדובר בעשייה כחלק מעבודת ה', וכן אם מדובר ב"עבודת הנפש" של המעשה הפיסי, בהחלט יש מקום לברכה גם על מנהגים.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48C"/>
    <w:multiLevelType w:val="hybridMultilevel"/>
    <w:tmpl w:val="8A2659F4"/>
    <w:lvl w:ilvl="0" w:tplc="4F32ACD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3E3F"/>
    <w:multiLevelType w:val="hybridMultilevel"/>
    <w:tmpl w:val="B3C04872"/>
    <w:lvl w:ilvl="0" w:tplc="A036DC4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53AB4"/>
    <w:multiLevelType w:val="hybridMultilevel"/>
    <w:tmpl w:val="44A4A6B6"/>
    <w:lvl w:ilvl="0" w:tplc="742E8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637A4"/>
    <w:multiLevelType w:val="hybridMultilevel"/>
    <w:tmpl w:val="95741EA6"/>
    <w:lvl w:ilvl="0" w:tplc="5E80C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87820"/>
    <w:multiLevelType w:val="hybridMultilevel"/>
    <w:tmpl w:val="0AA2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4E6D"/>
    <w:multiLevelType w:val="hybridMultilevel"/>
    <w:tmpl w:val="75F8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41432"/>
    <w:multiLevelType w:val="hybridMultilevel"/>
    <w:tmpl w:val="01A6A74C"/>
    <w:lvl w:ilvl="0" w:tplc="67B635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C568F"/>
    <w:multiLevelType w:val="hybridMultilevel"/>
    <w:tmpl w:val="7006F49E"/>
    <w:lvl w:ilvl="0" w:tplc="61BE3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509EE"/>
    <w:multiLevelType w:val="hybridMultilevel"/>
    <w:tmpl w:val="1D46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A0DEE"/>
    <w:multiLevelType w:val="hybridMultilevel"/>
    <w:tmpl w:val="30B0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FA558F"/>
    <w:multiLevelType w:val="hybridMultilevel"/>
    <w:tmpl w:val="FFC82DB2"/>
    <w:lvl w:ilvl="0" w:tplc="BC661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97816"/>
    <w:multiLevelType w:val="hybridMultilevel"/>
    <w:tmpl w:val="888E4FD8"/>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A4A36B2"/>
    <w:multiLevelType w:val="hybridMultilevel"/>
    <w:tmpl w:val="597419D6"/>
    <w:lvl w:ilvl="0" w:tplc="AD96C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26F72"/>
    <w:multiLevelType w:val="hybridMultilevel"/>
    <w:tmpl w:val="8188B56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23"/>
  </w:num>
  <w:num w:numId="5">
    <w:abstractNumId w:val="7"/>
  </w:num>
  <w:num w:numId="6">
    <w:abstractNumId w:val="6"/>
  </w:num>
  <w:num w:numId="7">
    <w:abstractNumId w:val="1"/>
  </w:num>
  <w:num w:numId="8">
    <w:abstractNumId w:val="12"/>
  </w:num>
  <w:num w:numId="9">
    <w:abstractNumId w:val="4"/>
  </w:num>
  <w:num w:numId="10">
    <w:abstractNumId w:val="13"/>
  </w:num>
  <w:num w:numId="11">
    <w:abstractNumId w:val="18"/>
  </w:num>
  <w:num w:numId="12">
    <w:abstractNumId w:val="2"/>
  </w:num>
  <w:num w:numId="13">
    <w:abstractNumId w:val="17"/>
  </w:num>
  <w:num w:numId="14">
    <w:abstractNumId w:val="15"/>
  </w:num>
  <w:num w:numId="15">
    <w:abstractNumId w:val="20"/>
  </w:num>
  <w:num w:numId="16">
    <w:abstractNumId w:val="10"/>
  </w:num>
  <w:num w:numId="17">
    <w:abstractNumId w:val="9"/>
  </w:num>
  <w:num w:numId="18">
    <w:abstractNumId w:val="5"/>
  </w:num>
  <w:num w:numId="19">
    <w:abstractNumId w:val="21"/>
  </w:num>
  <w:num w:numId="20">
    <w:abstractNumId w:val="22"/>
  </w:num>
  <w:num w:numId="21">
    <w:abstractNumId w:val="3"/>
  </w:num>
  <w:num w:numId="22">
    <w:abstractNumId w:val="0"/>
  </w:num>
  <w:num w:numId="23">
    <w:abstractNumId w:val="8"/>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2EE8"/>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24C"/>
    <w:rsid w:val="000A441E"/>
    <w:rsid w:val="000A4C56"/>
    <w:rsid w:val="000A5F5E"/>
    <w:rsid w:val="000A5FB3"/>
    <w:rsid w:val="000A606B"/>
    <w:rsid w:val="000A6969"/>
    <w:rsid w:val="000A6BCC"/>
    <w:rsid w:val="000A6C6C"/>
    <w:rsid w:val="000A7AF3"/>
    <w:rsid w:val="000B096B"/>
    <w:rsid w:val="000B1EA8"/>
    <w:rsid w:val="000B23EE"/>
    <w:rsid w:val="000B24FA"/>
    <w:rsid w:val="000B28A6"/>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552"/>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17D68"/>
    <w:rsid w:val="0022004E"/>
    <w:rsid w:val="00220057"/>
    <w:rsid w:val="002207C8"/>
    <w:rsid w:val="0022083B"/>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856"/>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4CE"/>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A55"/>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1EC"/>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4D2"/>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699B"/>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80"/>
    <w:rsid w:val="004157B5"/>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463A"/>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01A0"/>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7A3"/>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01C0"/>
    <w:rsid w:val="006612C1"/>
    <w:rsid w:val="0066308B"/>
    <w:rsid w:val="006634C8"/>
    <w:rsid w:val="0066463F"/>
    <w:rsid w:val="006648DE"/>
    <w:rsid w:val="0066548D"/>
    <w:rsid w:val="006665FB"/>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514"/>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4F4"/>
    <w:rsid w:val="00702874"/>
    <w:rsid w:val="00702C02"/>
    <w:rsid w:val="00702FC9"/>
    <w:rsid w:val="00703269"/>
    <w:rsid w:val="007036C2"/>
    <w:rsid w:val="00703A8C"/>
    <w:rsid w:val="00704261"/>
    <w:rsid w:val="00705813"/>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81"/>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54C"/>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1BA0"/>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74"/>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80B"/>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11CA"/>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44A"/>
    <w:rsid w:val="00B4556D"/>
    <w:rsid w:val="00B47C49"/>
    <w:rsid w:val="00B47CF9"/>
    <w:rsid w:val="00B47D28"/>
    <w:rsid w:val="00B502A7"/>
    <w:rsid w:val="00B50E6C"/>
    <w:rsid w:val="00B50F4F"/>
    <w:rsid w:val="00B50F80"/>
    <w:rsid w:val="00B523C5"/>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4EFA"/>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151A"/>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AC8"/>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6F87"/>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CB3"/>
    <w:rsid w:val="00DB0EBF"/>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261"/>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149"/>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21B"/>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631"/>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31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7A6"/>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20A"/>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C8E"/>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9357F"/>
    <w:pPr>
      <w:spacing w:after="0"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9357F"/>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2004</Words>
  <Characters>11427</Characters>
  <Application>Microsoft Office Word</Application>
  <DocSecurity>0</DocSecurity>
  <Lines>95</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2023-11-22T11:46:00Z</dcterms:created>
  <dcterms:modified xsi:type="dcterms:W3CDTF">2023-11-22T11:46:00Z</dcterms:modified>
</cp:coreProperties>
</file>