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EA0D" w14:textId="77777777" w:rsidR="000C1943" w:rsidRPr="000C1943" w:rsidRDefault="000C1943" w:rsidP="002C40E1">
      <w:pPr>
        <w:widowControl w:val="0"/>
        <w:tabs>
          <w:tab w:val="center" w:pos="4818"/>
          <w:tab w:val="right" w:pos="8220"/>
        </w:tabs>
        <w:spacing w:after="0" w:line="240" w:lineRule="auto"/>
        <w:jc w:val="center"/>
        <w:rPr>
          <w:b/>
          <w:bCs/>
          <w:sz w:val="24"/>
          <w:szCs w:val="24"/>
        </w:rPr>
      </w:pPr>
      <w:r w:rsidRPr="000C1943">
        <w:rPr>
          <w:b/>
          <w:bCs/>
          <w:sz w:val="24"/>
          <w:szCs w:val="24"/>
          <w:rtl/>
        </w:rPr>
        <w:t xml:space="preserve">בית המדרש הווירטואלי </w:t>
      </w:r>
      <w:r w:rsidRPr="000C1943">
        <w:rPr>
          <w:b/>
          <w:bCs/>
          <w:sz w:val="24"/>
          <w:szCs w:val="24"/>
        </w:rPr>
        <w:t>(V.B.M)</w:t>
      </w:r>
      <w:r w:rsidRPr="000C1943">
        <w:rPr>
          <w:b/>
          <w:bCs/>
          <w:sz w:val="24"/>
          <w:szCs w:val="24"/>
          <w:rtl/>
        </w:rPr>
        <w:t xml:space="preserve"> ע"ש ישראל קושיצקי שליד ישיבת הר עציון</w:t>
      </w:r>
    </w:p>
    <w:p w14:paraId="121A9BFD" w14:textId="77777777" w:rsidR="000C1943" w:rsidRPr="000C1943" w:rsidRDefault="000C1943" w:rsidP="002C40E1">
      <w:pPr>
        <w:widowControl w:val="0"/>
        <w:spacing w:after="0" w:line="240" w:lineRule="auto"/>
        <w:jc w:val="center"/>
        <w:rPr>
          <w:rStyle w:val="Hyperlink"/>
          <w:b/>
          <w:bCs/>
          <w:sz w:val="24"/>
          <w:szCs w:val="24"/>
          <w:rtl/>
        </w:rPr>
      </w:pPr>
      <w:r w:rsidRPr="000C1943">
        <w:rPr>
          <w:rStyle w:val="views-field-name"/>
          <w:b/>
          <w:bCs/>
          <w:sz w:val="24"/>
          <w:szCs w:val="24"/>
          <w:shd w:val="clear" w:color="auto" w:fill="FFFFFF"/>
          <w:rtl/>
        </w:rPr>
        <w:t>שיעורים ב</w:t>
      </w:r>
      <w:hyperlink r:id="rId8" w:history="1">
        <w:r w:rsidRPr="000C1943">
          <w:rPr>
            <w:rStyle w:val="Hyperlink"/>
            <w:b/>
            <w:bCs/>
            <w:sz w:val="24"/>
            <w:szCs w:val="24"/>
            <w:rtl/>
          </w:rPr>
          <w:t>דרכיה: אישה והלכה</w:t>
        </w:r>
      </w:hyperlink>
    </w:p>
    <w:p w14:paraId="21DEF348" w14:textId="77777777" w:rsidR="000C1943" w:rsidRPr="000C1943" w:rsidRDefault="000C1943" w:rsidP="002C40E1">
      <w:pPr>
        <w:widowControl w:val="0"/>
        <w:spacing w:after="0" w:line="240" w:lineRule="auto"/>
        <w:jc w:val="center"/>
        <w:rPr>
          <w:rStyle w:val="views-field-name"/>
          <w:b/>
          <w:bCs/>
          <w:sz w:val="24"/>
          <w:szCs w:val="24"/>
          <w:shd w:val="clear" w:color="auto" w:fill="FFFFFF"/>
        </w:rPr>
      </w:pPr>
    </w:p>
    <w:p w14:paraId="0127D7BE" w14:textId="77777777" w:rsidR="000C1943" w:rsidRPr="000C1943" w:rsidRDefault="000C1943" w:rsidP="002C40E1">
      <w:pPr>
        <w:widowControl w:val="0"/>
        <w:spacing w:after="0" w:line="240" w:lineRule="auto"/>
        <w:jc w:val="center"/>
        <w:rPr>
          <w:rStyle w:val="views-field-field-author"/>
          <w:sz w:val="24"/>
          <w:szCs w:val="24"/>
          <w:shd w:val="clear" w:color="auto" w:fill="FFFFFF"/>
          <w:rtl/>
        </w:rPr>
      </w:pPr>
      <w:r w:rsidRPr="000C1943">
        <w:rPr>
          <w:rStyle w:val="views-field-field-author"/>
          <w:sz w:val="24"/>
          <w:szCs w:val="24"/>
          <w:shd w:val="clear" w:color="auto" w:fill="FFFFFF"/>
          <w:rtl/>
        </w:rPr>
        <w:t>צוות דרכיה, לורי נוביק</w:t>
      </w:r>
    </w:p>
    <w:p w14:paraId="708C4B8B" w14:textId="77777777" w:rsidR="000C1943" w:rsidRPr="000C1943" w:rsidRDefault="000C1943" w:rsidP="002C40E1">
      <w:pPr>
        <w:widowControl w:val="0"/>
        <w:spacing w:after="0" w:line="240" w:lineRule="auto"/>
        <w:jc w:val="center"/>
        <w:rPr>
          <w:sz w:val="24"/>
          <w:szCs w:val="24"/>
        </w:rPr>
      </w:pPr>
    </w:p>
    <w:p w14:paraId="3D0A72D8" w14:textId="28372E1A" w:rsidR="00EF1970" w:rsidRDefault="00EF1970" w:rsidP="002C40E1">
      <w:pPr>
        <w:pStyle w:val="ArticleTitle"/>
        <w:spacing w:before="0" w:line="240" w:lineRule="auto"/>
        <w:rPr>
          <w:sz w:val="28"/>
          <w:szCs w:val="28"/>
          <w:rtl/>
        </w:rPr>
      </w:pPr>
      <w:r w:rsidRPr="000C1943">
        <w:rPr>
          <w:rFonts w:hint="cs"/>
          <w:sz w:val="28"/>
          <w:szCs w:val="28"/>
          <w:rtl/>
        </w:rPr>
        <w:t>מניין</w:t>
      </w:r>
    </w:p>
    <w:p w14:paraId="094E4EA2" w14:textId="77777777" w:rsidR="000C1943" w:rsidRPr="000C1943" w:rsidRDefault="000C1943" w:rsidP="002C40E1">
      <w:pPr>
        <w:pStyle w:val="ArticleTitle"/>
        <w:spacing w:before="0" w:line="240" w:lineRule="auto"/>
        <w:rPr>
          <w:sz w:val="28"/>
          <w:szCs w:val="28"/>
          <w:rtl/>
        </w:rPr>
      </w:pPr>
    </w:p>
    <w:bookmarkStart w:id="0" w:name="_Hlk126149656"/>
    <w:p w14:paraId="57F3D52C" w14:textId="0414725F" w:rsidR="005E5710" w:rsidRPr="000C1943" w:rsidRDefault="005E5710" w:rsidP="002C40E1">
      <w:pPr>
        <w:pStyle w:val="ListParagraph"/>
        <w:numPr>
          <w:ilvl w:val="0"/>
          <w:numId w:val="4"/>
        </w:numPr>
        <w:spacing w:after="0" w:line="240" w:lineRule="auto"/>
        <w:ind w:left="0" w:firstLine="0"/>
        <w:jc w:val="center"/>
        <w:rPr>
          <w:sz w:val="24"/>
          <w:szCs w:val="24"/>
        </w:rPr>
      </w:pPr>
      <w:r w:rsidRPr="000C1943">
        <w:rPr>
          <w:sz w:val="24"/>
          <w:szCs w:val="24"/>
          <w:rtl/>
        </w:rPr>
        <w:fldChar w:fldCharType="begin"/>
      </w:r>
      <w:r w:rsidRPr="000C1943">
        <w:rPr>
          <w:sz w:val="24"/>
          <w:szCs w:val="24"/>
        </w:rPr>
        <w:instrText>HYPERLINK</w:instrText>
      </w:r>
      <w:r w:rsidRPr="000C1943">
        <w:rPr>
          <w:sz w:val="24"/>
          <w:szCs w:val="24"/>
          <w:rtl/>
        </w:rPr>
        <w:instrText xml:space="preserve"> "</w:instrText>
      </w:r>
      <w:r w:rsidRPr="000C1943">
        <w:rPr>
          <w:sz w:val="24"/>
          <w:szCs w:val="24"/>
        </w:rPr>
        <w:instrText>https://deracheha.org.il/minyan</w:instrText>
      </w:r>
      <w:r w:rsidRPr="000C1943">
        <w:rPr>
          <w:sz w:val="24"/>
          <w:szCs w:val="24"/>
          <w:rtl/>
        </w:rPr>
        <w:instrText>/"</w:instrText>
      </w:r>
      <w:r w:rsidRPr="000C1943">
        <w:rPr>
          <w:sz w:val="24"/>
          <w:szCs w:val="24"/>
          <w:rtl/>
        </w:rPr>
      </w:r>
      <w:r w:rsidRPr="000C1943">
        <w:rPr>
          <w:sz w:val="24"/>
          <w:szCs w:val="24"/>
          <w:rtl/>
        </w:rPr>
        <w:fldChar w:fldCharType="separate"/>
      </w:r>
      <w:r w:rsidRPr="000C1943">
        <w:rPr>
          <w:rStyle w:val="Hyperlink"/>
          <w:sz w:val="24"/>
          <w:szCs w:val="24"/>
          <w:rtl/>
        </w:rPr>
        <w:t>לחצו כאן</w:t>
      </w:r>
      <w:r w:rsidRPr="000C1943">
        <w:rPr>
          <w:sz w:val="24"/>
          <w:szCs w:val="24"/>
          <w:rtl/>
        </w:rPr>
        <w:fldChar w:fldCharType="end"/>
      </w:r>
      <w:r w:rsidRPr="000C1943">
        <w:rPr>
          <w:sz w:val="24"/>
          <w:szCs w:val="24"/>
          <w:rtl/>
        </w:rPr>
        <w:t xml:space="preserve"> כדי לראות גרסה מעודכנת של השיעור עם </w:t>
      </w:r>
      <w:r w:rsidRPr="000C1943">
        <w:rPr>
          <w:rFonts w:hint="cs"/>
          <w:sz w:val="24"/>
          <w:szCs w:val="24"/>
          <w:rtl/>
        </w:rPr>
        <w:t>כלי למידה נוספים</w:t>
      </w:r>
      <w:r w:rsidRPr="000C1943">
        <w:rPr>
          <w:sz w:val="24"/>
          <w:szCs w:val="24"/>
          <w:rtl/>
        </w:rPr>
        <w:t xml:space="preserve"> באתר דרכיה</w:t>
      </w:r>
      <w:r w:rsidRPr="000C1943">
        <w:rPr>
          <w:sz w:val="24"/>
          <w:szCs w:val="24"/>
        </w:rPr>
        <w:t>.</w:t>
      </w:r>
    </w:p>
    <w:p w14:paraId="4045CF01" w14:textId="77777777" w:rsidR="005E5710" w:rsidRPr="000C1943" w:rsidRDefault="00000000" w:rsidP="002C40E1">
      <w:pPr>
        <w:pStyle w:val="ListParagraph"/>
        <w:numPr>
          <w:ilvl w:val="0"/>
          <w:numId w:val="4"/>
        </w:numPr>
        <w:spacing w:after="0" w:line="240" w:lineRule="auto"/>
        <w:ind w:left="0" w:firstLine="0"/>
        <w:jc w:val="center"/>
        <w:rPr>
          <w:sz w:val="24"/>
          <w:szCs w:val="24"/>
        </w:rPr>
      </w:pPr>
      <w:hyperlink r:id="rId9" w:history="1">
        <w:r w:rsidR="005E5710" w:rsidRPr="000C1943">
          <w:rPr>
            <w:rStyle w:val="Hyperlink"/>
            <w:color w:val="0070C0"/>
            <w:sz w:val="24"/>
            <w:szCs w:val="24"/>
            <w:rtl/>
          </w:rPr>
          <w:t>הרשמו כאן</w:t>
        </w:r>
      </w:hyperlink>
      <w:r w:rsidR="005E5710" w:rsidRPr="000C1943">
        <w:rPr>
          <w:sz w:val="24"/>
          <w:szCs w:val="24"/>
          <w:rtl/>
        </w:rPr>
        <w:t xml:space="preserve"> לניוזלטר כדי לקבל עוד עדכונים ותכנים ממיזם דרכיה</w:t>
      </w:r>
      <w:r w:rsidR="005E5710" w:rsidRPr="000C1943">
        <w:rPr>
          <w:sz w:val="24"/>
          <w:szCs w:val="24"/>
        </w:rPr>
        <w:t>.</w:t>
      </w:r>
    </w:p>
    <w:p w14:paraId="512320EB" w14:textId="77777777" w:rsidR="005E5710" w:rsidRPr="000C1943" w:rsidRDefault="005E5710" w:rsidP="002C40E1">
      <w:pPr>
        <w:pStyle w:val="ListParagraph"/>
        <w:numPr>
          <w:ilvl w:val="0"/>
          <w:numId w:val="4"/>
        </w:numPr>
        <w:spacing w:after="0" w:line="240" w:lineRule="auto"/>
        <w:ind w:left="0" w:firstLine="0"/>
        <w:jc w:val="center"/>
        <w:rPr>
          <w:sz w:val="24"/>
          <w:szCs w:val="24"/>
          <w:rtl/>
        </w:rPr>
      </w:pPr>
      <w:r w:rsidRPr="000C1943">
        <w:rPr>
          <w:sz w:val="24"/>
          <w:szCs w:val="24"/>
          <w:rtl/>
        </w:rPr>
        <w:t>נשמח לקבל הערות והארות</w:t>
      </w:r>
      <w:r w:rsidRPr="000C1943">
        <w:rPr>
          <w:rFonts w:hint="cs"/>
          <w:sz w:val="24"/>
          <w:szCs w:val="24"/>
          <w:rtl/>
        </w:rPr>
        <w:t xml:space="preserve"> </w:t>
      </w:r>
      <w:hyperlink r:id="rId10" w:history="1">
        <w:r w:rsidRPr="000C1943">
          <w:rPr>
            <w:rStyle w:val="Hyperlink"/>
            <w:rFonts w:hint="cs"/>
            <w:sz w:val="24"/>
            <w:szCs w:val="24"/>
            <w:rtl/>
          </w:rPr>
          <w:t>כאן</w:t>
        </w:r>
      </w:hyperlink>
      <w:r w:rsidRPr="000C1943">
        <w:rPr>
          <w:rFonts w:hint="cs"/>
          <w:sz w:val="24"/>
          <w:szCs w:val="24"/>
          <w:rtl/>
        </w:rPr>
        <w:t>.</w:t>
      </w:r>
    </w:p>
    <w:bookmarkEnd w:id="0"/>
    <w:p w14:paraId="6C40518A" w14:textId="77777777" w:rsidR="005E5710" w:rsidRPr="000C1943" w:rsidRDefault="005E5710" w:rsidP="002C40E1">
      <w:pPr>
        <w:spacing w:after="0" w:line="240" w:lineRule="auto"/>
        <w:jc w:val="both"/>
        <w:rPr>
          <w:sz w:val="24"/>
          <w:szCs w:val="24"/>
        </w:rPr>
      </w:pPr>
    </w:p>
    <w:p w14:paraId="077CB8FA" w14:textId="76566A7E" w:rsidR="006D790B" w:rsidRPr="000C1943" w:rsidRDefault="006D790B" w:rsidP="002C40E1">
      <w:pPr>
        <w:spacing w:after="0" w:line="240" w:lineRule="auto"/>
        <w:jc w:val="both"/>
        <w:rPr>
          <w:sz w:val="24"/>
          <w:szCs w:val="24"/>
          <w:rtl/>
        </w:rPr>
      </w:pPr>
      <w:r w:rsidRPr="000C1943">
        <w:rPr>
          <w:rFonts w:hint="cs"/>
          <w:sz w:val="24"/>
          <w:szCs w:val="24"/>
          <w:rtl/>
        </w:rPr>
        <w:t>מאת לורי נוביק | עריכה: הרב עזרא ביק, אילנה אלצפן, שיינע גולדברג, והרב דוד ספרלינג</w:t>
      </w:r>
    </w:p>
    <w:p w14:paraId="56D10717" w14:textId="77777777" w:rsidR="006D790B" w:rsidRPr="000C1943" w:rsidRDefault="006D790B" w:rsidP="002C40E1">
      <w:pPr>
        <w:spacing w:after="0" w:line="240" w:lineRule="auto"/>
        <w:jc w:val="both"/>
        <w:rPr>
          <w:sz w:val="24"/>
          <w:szCs w:val="24"/>
        </w:rPr>
      </w:pPr>
      <w:r w:rsidRPr="000C1943">
        <w:rPr>
          <w:rFonts w:hint="cs"/>
          <w:sz w:val="24"/>
          <w:szCs w:val="24"/>
          <w:rtl/>
        </w:rPr>
        <w:t>תרגום: שיראל גרסון | עריכה בעברית: עדיה בלנק</w:t>
      </w:r>
    </w:p>
    <w:p w14:paraId="65BEA077" w14:textId="77777777" w:rsidR="00584B84" w:rsidRPr="000C1943" w:rsidRDefault="00584B84" w:rsidP="002C40E1">
      <w:pPr>
        <w:spacing w:after="0" w:line="240" w:lineRule="auto"/>
        <w:jc w:val="both"/>
        <w:rPr>
          <w:sz w:val="24"/>
          <w:szCs w:val="24"/>
          <w:rtl/>
        </w:rPr>
      </w:pPr>
    </w:p>
    <w:p w14:paraId="72CBD9F4" w14:textId="77777777" w:rsidR="00584B84" w:rsidRDefault="00584B84" w:rsidP="002C40E1">
      <w:pPr>
        <w:pStyle w:val="Heading1"/>
        <w:spacing w:before="0" w:line="240" w:lineRule="auto"/>
        <w:jc w:val="both"/>
        <w:rPr>
          <w:sz w:val="24"/>
          <w:szCs w:val="24"/>
          <w:rtl/>
        </w:rPr>
      </w:pPr>
      <w:r w:rsidRPr="000C1943">
        <w:rPr>
          <w:rFonts w:hint="cs"/>
          <w:sz w:val="24"/>
          <w:szCs w:val="24"/>
          <w:rtl/>
        </w:rPr>
        <w:t>ה' ותפילה בציבור</w:t>
      </w:r>
    </w:p>
    <w:p w14:paraId="29F15840" w14:textId="77777777" w:rsidR="000C1943" w:rsidRPr="000C1943" w:rsidRDefault="000C1943" w:rsidP="002C40E1">
      <w:pPr>
        <w:spacing w:after="0" w:line="240" w:lineRule="auto"/>
        <w:rPr>
          <w:rtl/>
        </w:rPr>
      </w:pPr>
    </w:p>
    <w:p w14:paraId="0FA1BB3E" w14:textId="117556EF" w:rsidR="00EF1970" w:rsidRDefault="00EF1970" w:rsidP="002C40E1">
      <w:pPr>
        <w:spacing w:after="0" w:line="240" w:lineRule="auto"/>
        <w:jc w:val="both"/>
        <w:rPr>
          <w:sz w:val="24"/>
          <w:szCs w:val="24"/>
          <w:rtl/>
        </w:rPr>
      </w:pPr>
      <w:r w:rsidRPr="000C1943">
        <w:rPr>
          <w:rFonts w:hint="cs"/>
          <w:sz w:val="24"/>
          <w:szCs w:val="24"/>
          <w:rtl/>
        </w:rPr>
        <w:t>התפילה נותנת לנו הזדמנות לעמוד לפני ה' ולבקש את רחמיו. התלמוד הירושלמי מדגיש את הפן האישי של מפגש זה עם הקב"ה בטענה שעל כל אחד מאיתנו לבקש רחמים בעבור עצמו:</w:t>
      </w:r>
    </w:p>
    <w:p w14:paraId="03BA5C73" w14:textId="77777777" w:rsidR="000C1943" w:rsidRPr="000C1943" w:rsidRDefault="000C1943" w:rsidP="002C40E1">
      <w:pPr>
        <w:spacing w:after="0" w:line="240" w:lineRule="auto"/>
        <w:jc w:val="both"/>
        <w:rPr>
          <w:sz w:val="24"/>
          <w:szCs w:val="24"/>
          <w:rtl/>
        </w:rPr>
      </w:pPr>
    </w:p>
    <w:p w14:paraId="4A98E1D6" w14:textId="77777777" w:rsidR="00EF1970" w:rsidRPr="000C1943" w:rsidRDefault="00EF1970" w:rsidP="002C40E1">
      <w:pPr>
        <w:spacing w:after="0" w:line="240" w:lineRule="auto"/>
        <w:rPr>
          <w:sz w:val="24"/>
          <w:szCs w:val="24"/>
        </w:rPr>
      </w:pPr>
      <w:r w:rsidRPr="000C1943">
        <w:rPr>
          <w:rFonts w:hint="cs"/>
          <w:sz w:val="24"/>
          <w:szCs w:val="24"/>
          <w:rtl/>
        </w:rPr>
        <w:t>תלמוד ירושלמי ברכות ג, ג </w:t>
      </w:r>
    </w:p>
    <w:p w14:paraId="661C9DF0" w14:textId="77777777" w:rsidR="00EF1970" w:rsidRDefault="00EF1970" w:rsidP="002C40E1">
      <w:pPr>
        <w:spacing w:after="0" w:line="240" w:lineRule="auto"/>
        <w:ind w:left="720"/>
        <w:rPr>
          <w:sz w:val="24"/>
          <w:szCs w:val="24"/>
          <w:rtl/>
        </w:rPr>
      </w:pPr>
      <w:r w:rsidRPr="000C1943">
        <w:rPr>
          <w:rFonts w:hint="cs"/>
          <w:sz w:val="24"/>
          <w:szCs w:val="24"/>
          <w:rtl/>
        </w:rPr>
        <w:t>לא מסתברא בתפילה שיהא כל אחד ואחד מבקש רחמים על עצמו?!</w:t>
      </w:r>
    </w:p>
    <w:p w14:paraId="1054FFC4" w14:textId="77777777" w:rsidR="000C1943" w:rsidRPr="000C1943" w:rsidRDefault="000C1943" w:rsidP="002C40E1">
      <w:pPr>
        <w:spacing w:after="0" w:line="240" w:lineRule="auto"/>
        <w:ind w:left="720"/>
        <w:rPr>
          <w:sz w:val="24"/>
          <w:szCs w:val="24"/>
          <w:rtl/>
        </w:rPr>
      </w:pPr>
    </w:p>
    <w:p w14:paraId="72E4002A" w14:textId="1B589A96" w:rsidR="00A65FB0" w:rsidRDefault="00EF1970" w:rsidP="002C40E1">
      <w:pPr>
        <w:spacing w:after="0" w:line="240" w:lineRule="auto"/>
        <w:jc w:val="both"/>
        <w:rPr>
          <w:sz w:val="24"/>
          <w:szCs w:val="24"/>
          <w:rtl/>
        </w:rPr>
      </w:pPr>
      <w:r w:rsidRPr="000C1943">
        <w:rPr>
          <w:rFonts w:hint="cs"/>
          <w:sz w:val="24"/>
          <w:szCs w:val="24"/>
          <w:rtl/>
        </w:rPr>
        <w:t>במקביל, מובא בגמרא שתפילה בציבור היא בעלת ערך מיוחד. למשל, ה' אינו דוחה תפילת רבים:</w:t>
      </w:r>
      <w:r w:rsidR="00A65FB0" w:rsidRPr="000C1943">
        <w:rPr>
          <w:rStyle w:val="FootnoteReference"/>
          <w:sz w:val="24"/>
          <w:szCs w:val="24"/>
          <w:rtl/>
        </w:rPr>
        <w:footnoteReference w:id="1"/>
      </w:r>
    </w:p>
    <w:p w14:paraId="0FC3BBBA" w14:textId="77777777" w:rsidR="000C1943" w:rsidRPr="000C1943" w:rsidRDefault="000C1943" w:rsidP="002C40E1">
      <w:pPr>
        <w:spacing w:after="0" w:line="240" w:lineRule="auto"/>
        <w:jc w:val="both"/>
        <w:rPr>
          <w:sz w:val="24"/>
          <w:szCs w:val="24"/>
          <w:rtl/>
        </w:rPr>
      </w:pPr>
    </w:p>
    <w:p w14:paraId="2FE72E64" w14:textId="77777777" w:rsidR="00A65FB0" w:rsidRPr="000C1943" w:rsidRDefault="00A65FB0" w:rsidP="002C40E1">
      <w:pPr>
        <w:spacing w:after="0" w:line="240" w:lineRule="auto"/>
        <w:rPr>
          <w:sz w:val="24"/>
          <w:szCs w:val="24"/>
        </w:rPr>
      </w:pPr>
      <w:r w:rsidRPr="000C1943">
        <w:rPr>
          <w:rFonts w:hint="cs"/>
          <w:sz w:val="24"/>
          <w:szCs w:val="24"/>
          <w:rtl/>
        </w:rPr>
        <w:t>ברכות ח ע"א </w:t>
      </w:r>
    </w:p>
    <w:p w14:paraId="52EB71CB" w14:textId="77777777" w:rsidR="00A65FB0" w:rsidRDefault="00A65FB0" w:rsidP="002C40E1">
      <w:pPr>
        <w:spacing w:after="0" w:line="240" w:lineRule="auto"/>
        <w:ind w:left="720"/>
        <w:rPr>
          <w:sz w:val="24"/>
          <w:szCs w:val="24"/>
          <w:rtl/>
        </w:rPr>
      </w:pPr>
      <w:r w:rsidRPr="000C1943">
        <w:rPr>
          <w:rFonts w:hint="cs"/>
          <w:sz w:val="24"/>
          <w:szCs w:val="24"/>
          <w:rtl/>
        </w:rPr>
        <w:t>רבי נתן אומר: מנין שאין הקדוש ברוך הוא מואס בתפלתן של רבים? שנאמר: הן אל כביר ולא ימאס (איוב ל"ו, ה).</w:t>
      </w:r>
    </w:p>
    <w:p w14:paraId="6FA717F8" w14:textId="77777777" w:rsidR="000C1943" w:rsidRPr="000C1943" w:rsidRDefault="000C1943" w:rsidP="002C40E1">
      <w:pPr>
        <w:spacing w:after="0" w:line="240" w:lineRule="auto"/>
        <w:ind w:left="720"/>
        <w:rPr>
          <w:sz w:val="24"/>
          <w:szCs w:val="24"/>
          <w:rtl/>
        </w:rPr>
      </w:pPr>
    </w:p>
    <w:p w14:paraId="2D794CD1" w14:textId="77777777" w:rsidR="00A65FB0" w:rsidRDefault="00A65FB0" w:rsidP="002C40E1">
      <w:pPr>
        <w:spacing w:after="0" w:line="240" w:lineRule="auto"/>
        <w:jc w:val="both"/>
        <w:rPr>
          <w:sz w:val="24"/>
          <w:szCs w:val="24"/>
          <w:rtl/>
        </w:rPr>
      </w:pPr>
      <w:r w:rsidRPr="000C1943">
        <w:rPr>
          <w:rFonts w:hint="cs"/>
          <w:sz w:val="24"/>
          <w:szCs w:val="24"/>
          <w:rtl/>
        </w:rPr>
        <w:t>המילה "כביר" כאן משמשת כמילה נרדפת ל"רבים". אך לא דבריו של רבי נתן ולא ההוכחה שלו מספקים לנו פרטים כלשהם לגבי טיבם של ה"רבים" הנדרשים להשגת תוצאה זו. גמרא נוספת מציעה את המספר עשר כמשמעותי בהקשר זה:</w:t>
      </w:r>
    </w:p>
    <w:p w14:paraId="1C551665" w14:textId="77777777" w:rsidR="000C1943" w:rsidRPr="000C1943" w:rsidRDefault="000C1943" w:rsidP="002C40E1">
      <w:pPr>
        <w:spacing w:after="0" w:line="240" w:lineRule="auto"/>
        <w:jc w:val="both"/>
        <w:rPr>
          <w:sz w:val="24"/>
          <w:szCs w:val="24"/>
          <w:rtl/>
        </w:rPr>
      </w:pPr>
    </w:p>
    <w:p w14:paraId="2184C020" w14:textId="77777777" w:rsidR="00A65FB0" w:rsidRPr="000C1943" w:rsidRDefault="00A65FB0" w:rsidP="002C40E1">
      <w:pPr>
        <w:spacing w:after="0" w:line="240" w:lineRule="auto"/>
        <w:rPr>
          <w:sz w:val="24"/>
          <w:szCs w:val="24"/>
        </w:rPr>
      </w:pPr>
      <w:r w:rsidRPr="000C1943">
        <w:rPr>
          <w:rFonts w:hint="cs"/>
          <w:sz w:val="24"/>
          <w:szCs w:val="24"/>
          <w:rtl/>
        </w:rPr>
        <w:t>ברכות ו ע"א </w:t>
      </w:r>
    </w:p>
    <w:p w14:paraId="7CCB4910" w14:textId="77777777" w:rsidR="00A65FB0" w:rsidRDefault="00A65FB0" w:rsidP="002C40E1">
      <w:pPr>
        <w:spacing w:after="0" w:line="240" w:lineRule="auto"/>
        <w:ind w:left="720"/>
        <w:rPr>
          <w:sz w:val="24"/>
          <w:szCs w:val="24"/>
          <w:rtl/>
        </w:rPr>
      </w:pPr>
      <w:r w:rsidRPr="000C1943">
        <w:rPr>
          <w:rFonts w:hint="cs"/>
          <w:sz w:val="24"/>
          <w:szCs w:val="24"/>
          <w:rtl/>
        </w:rPr>
        <w:t>אמר רבין בר רב אדא אמר רבי יצחק: מנין שהקדוש ברוך הוא מצוי בבית הכנסת? שנאמר: אלקים נצב בעדת אל (תהילים פ"ב, א). ומנין לעשרה שמתפללין ששכינה עמהם? שנאמר: אלקים נצב בעדת אל.</w:t>
      </w:r>
    </w:p>
    <w:p w14:paraId="2FA9AD21" w14:textId="77777777" w:rsidR="000C1943" w:rsidRPr="000C1943" w:rsidRDefault="000C1943" w:rsidP="002C40E1">
      <w:pPr>
        <w:spacing w:after="0" w:line="240" w:lineRule="auto"/>
        <w:ind w:left="720"/>
        <w:rPr>
          <w:sz w:val="24"/>
          <w:szCs w:val="24"/>
          <w:rtl/>
        </w:rPr>
      </w:pPr>
    </w:p>
    <w:p w14:paraId="1DBEE8EB" w14:textId="77777777" w:rsidR="00A65FB0" w:rsidRDefault="00A65FB0" w:rsidP="002C40E1">
      <w:pPr>
        <w:spacing w:after="0" w:line="240" w:lineRule="auto"/>
        <w:jc w:val="both"/>
        <w:rPr>
          <w:sz w:val="24"/>
          <w:szCs w:val="24"/>
          <w:rtl/>
        </w:rPr>
      </w:pPr>
      <w:r w:rsidRPr="000C1943">
        <w:rPr>
          <w:rFonts w:hint="cs"/>
          <w:sz w:val="24"/>
          <w:szCs w:val="24"/>
          <w:rtl/>
        </w:rPr>
        <w:t>מדוע דווקא נוכחותם של עשרה מאפשרת את השראת השכינה?</w:t>
      </w:r>
      <w:r w:rsidRPr="000C1943">
        <w:rPr>
          <w:rFonts w:hint="cs"/>
          <w:sz w:val="24"/>
          <w:szCs w:val="24"/>
        </w:rPr>
        <w:t xml:space="preserve"> </w:t>
      </w:r>
      <w:r w:rsidRPr="000C1943">
        <w:rPr>
          <w:rFonts w:hint="cs"/>
          <w:sz w:val="24"/>
          <w:szCs w:val="24"/>
          <w:rtl/>
        </w:rPr>
        <w:t>מצאנו בתורה תקדים לכך שעשרה אנשים הוא המספר המינימלי של קהילה:</w:t>
      </w:r>
      <w:r w:rsidRPr="000C1943">
        <w:rPr>
          <w:rStyle w:val="FootnoteReference"/>
          <w:sz w:val="24"/>
          <w:szCs w:val="24"/>
          <w:rtl/>
        </w:rPr>
        <w:footnoteReference w:id="2"/>
      </w:r>
      <w:r w:rsidRPr="000C1943">
        <w:rPr>
          <w:rFonts w:hint="cs"/>
          <w:sz w:val="24"/>
          <w:szCs w:val="24"/>
          <w:rtl/>
        </w:rPr>
        <w:t xml:space="preserve"> ניסיונו האחרון של אברהם להציל את סדום הוא על ידי הצעה למציאת עשרה צדיקים בעיר.</w:t>
      </w:r>
      <w:r w:rsidRPr="000C1943">
        <w:rPr>
          <w:rStyle w:val="FootnoteReference"/>
          <w:sz w:val="24"/>
          <w:szCs w:val="24"/>
          <w:rtl/>
        </w:rPr>
        <w:footnoteReference w:id="3"/>
      </w:r>
      <w:r w:rsidRPr="000C1943">
        <w:rPr>
          <w:rFonts w:hint="cs"/>
          <w:sz w:val="24"/>
          <w:szCs w:val="24"/>
          <w:rtl/>
        </w:rPr>
        <w:t xml:space="preserve"> מינוי השופטים על בני ישראל מצביע על כך שהמספר המינימלי לקבוצה שעליה יש להעמיד שופט הוא של עשרה אנשים.</w:t>
      </w:r>
      <w:r w:rsidRPr="000C1943">
        <w:rPr>
          <w:rStyle w:val="FootnoteReference"/>
          <w:sz w:val="24"/>
          <w:szCs w:val="24"/>
          <w:rtl/>
        </w:rPr>
        <w:footnoteReference w:id="4"/>
      </w:r>
    </w:p>
    <w:p w14:paraId="56AC0239" w14:textId="77777777" w:rsidR="000C1943" w:rsidRPr="000C1943" w:rsidRDefault="000C1943" w:rsidP="002C40E1">
      <w:pPr>
        <w:spacing w:after="0" w:line="240" w:lineRule="auto"/>
        <w:jc w:val="both"/>
        <w:rPr>
          <w:sz w:val="24"/>
          <w:szCs w:val="24"/>
          <w:rtl/>
        </w:rPr>
      </w:pPr>
    </w:p>
    <w:p w14:paraId="3FFA4DD2" w14:textId="77777777" w:rsidR="00A65FB0" w:rsidRDefault="00A65FB0" w:rsidP="002C40E1">
      <w:pPr>
        <w:spacing w:after="0" w:line="240" w:lineRule="auto"/>
        <w:jc w:val="both"/>
        <w:rPr>
          <w:sz w:val="24"/>
          <w:szCs w:val="24"/>
          <w:rtl/>
        </w:rPr>
      </w:pPr>
      <w:r w:rsidRPr="000C1943">
        <w:rPr>
          <w:rFonts w:hint="cs"/>
          <w:sz w:val="24"/>
          <w:szCs w:val="24"/>
          <w:rtl/>
        </w:rPr>
        <w:lastRenderedPageBreak/>
        <w:t xml:space="preserve">התורה לא מרחיבה לגבי מי נחשב לעשרה בקהילה, אך המילה "עדה", המופיעה בפסוק שהגמרא מצטטת, מתייחסת בהקשרים אחרים לקבוצה של גברים יהודיים חופשיים בדווקא. לצד זאת, תחילת הגמרא מלמדת אותנו שה' מצוי בבית הכנסת, ללא קשר למי שנמצא בו. </w:t>
      </w:r>
    </w:p>
    <w:p w14:paraId="2A600ED7" w14:textId="77777777" w:rsidR="000C1943" w:rsidRPr="000C1943" w:rsidRDefault="000C1943" w:rsidP="002C40E1">
      <w:pPr>
        <w:spacing w:after="0" w:line="240" w:lineRule="auto"/>
        <w:jc w:val="both"/>
        <w:rPr>
          <w:sz w:val="24"/>
          <w:szCs w:val="24"/>
          <w:rtl/>
        </w:rPr>
      </w:pPr>
    </w:p>
    <w:p w14:paraId="008851F3" w14:textId="77777777" w:rsidR="00A65FB0" w:rsidRPr="000C1943" w:rsidRDefault="00A65FB0" w:rsidP="002C40E1">
      <w:pPr>
        <w:pStyle w:val="HashkafahTitle"/>
        <w:spacing w:before="0" w:line="240" w:lineRule="auto"/>
        <w:jc w:val="both"/>
        <w:rPr>
          <w:sz w:val="24"/>
          <w:szCs w:val="24"/>
          <w:rtl/>
        </w:rPr>
      </w:pPr>
      <w:r w:rsidRPr="000C1943">
        <w:rPr>
          <w:rFonts w:hint="cs"/>
          <w:sz w:val="24"/>
          <w:szCs w:val="24"/>
          <w:rtl/>
        </w:rPr>
        <w:t>האם השכינה מופיעה רק לקבוצות של עשרה גברים?</w:t>
      </w:r>
    </w:p>
    <w:p w14:paraId="08BC96E5" w14:textId="77777777" w:rsidR="00A65FB0" w:rsidRDefault="00A65FB0" w:rsidP="002C40E1">
      <w:pPr>
        <w:pStyle w:val="HashkafahText"/>
        <w:spacing w:after="0" w:line="240" w:lineRule="auto"/>
        <w:jc w:val="both"/>
        <w:rPr>
          <w:sz w:val="24"/>
          <w:szCs w:val="24"/>
          <w:rtl/>
        </w:rPr>
      </w:pPr>
      <w:r w:rsidRPr="000C1943">
        <w:rPr>
          <w:rFonts w:hint="cs"/>
          <w:sz w:val="24"/>
          <w:szCs w:val="24"/>
          <w:rtl/>
        </w:rPr>
        <w:t>השכינה מופיעה במקומות שבהם אנו יוצקים קדושה. נראה שמניין הוא דוגמה אחת לכך. ואכן, כמה גמרות (ברכות כא ע"א ומגילה כג ע"ב הנידונות להלן) מצטטות פסוק על קדושה המתאר את נחיצותו של המניין לכמה אלמנטים בתפילה:</w:t>
      </w:r>
    </w:p>
    <w:p w14:paraId="490BAC4C" w14:textId="77777777" w:rsidR="000C1943" w:rsidRPr="000C1943" w:rsidRDefault="000C1943" w:rsidP="002C40E1">
      <w:pPr>
        <w:pStyle w:val="HashkafahText"/>
        <w:spacing w:after="0" w:line="240" w:lineRule="auto"/>
        <w:jc w:val="both"/>
        <w:rPr>
          <w:sz w:val="24"/>
          <w:szCs w:val="24"/>
          <w:rtl/>
        </w:rPr>
      </w:pPr>
    </w:p>
    <w:p w14:paraId="45F58AD6" w14:textId="77777777" w:rsidR="00A65FB0" w:rsidRPr="000C1943" w:rsidRDefault="00A65FB0" w:rsidP="002C40E1">
      <w:pPr>
        <w:spacing w:after="0" w:line="240" w:lineRule="auto"/>
        <w:rPr>
          <w:sz w:val="24"/>
          <w:szCs w:val="24"/>
        </w:rPr>
      </w:pPr>
      <w:r w:rsidRPr="000C1943">
        <w:rPr>
          <w:rFonts w:hint="cs"/>
          <w:sz w:val="24"/>
          <w:szCs w:val="24"/>
          <w:rtl/>
        </w:rPr>
        <w:t>ויקרא כ"ב, לב</w:t>
      </w:r>
    </w:p>
    <w:p w14:paraId="77DC0932" w14:textId="77777777" w:rsidR="00A65FB0" w:rsidRPr="000C1943" w:rsidRDefault="00A65FB0" w:rsidP="002C40E1">
      <w:pPr>
        <w:spacing w:after="0" w:line="240" w:lineRule="auto"/>
        <w:ind w:left="720"/>
        <w:rPr>
          <w:sz w:val="24"/>
          <w:szCs w:val="24"/>
          <w:rtl/>
        </w:rPr>
      </w:pPr>
      <w:r w:rsidRPr="000C1943">
        <w:rPr>
          <w:rFonts w:hint="cs"/>
          <w:sz w:val="24"/>
          <w:szCs w:val="24"/>
          <w:rtl/>
        </w:rPr>
        <w:t>וְנִקְדַּשְׁתִּי בְּתוֹךְ בְּנֵי יִשְׂרָאֵל</w:t>
      </w:r>
    </w:p>
    <w:p w14:paraId="217C51AB" w14:textId="77777777" w:rsidR="000C1943" w:rsidRDefault="000C1943" w:rsidP="002C40E1">
      <w:pPr>
        <w:pStyle w:val="HashkafahText"/>
        <w:spacing w:after="0" w:line="240" w:lineRule="auto"/>
        <w:jc w:val="both"/>
        <w:rPr>
          <w:sz w:val="24"/>
          <w:szCs w:val="24"/>
          <w:rtl/>
        </w:rPr>
      </w:pPr>
    </w:p>
    <w:p w14:paraId="4F59B667" w14:textId="6270EE8C" w:rsidR="00A65FB0" w:rsidRDefault="00A65FB0" w:rsidP="002C40E1">
      <w:pPr>
        <w:pStyle w:val="HashkafahText"/>
        <w:spacing w:after="0" w:line="240" w:lineRule="auto"/>
        <w:jc w:val="both"/>
        <w:rPr>
          <w:sz w:val="24"/>
          <w:szCs w:val="24"/>
          <w:rtl/>
        </w:rPr>
      </w:pPr>
      <w:r w:rsidRPr="000C1943">
        <w:rPr>
          <w:rFonts w:hint="cs"/>
          <w:sz w:val="24"/>
          <w:szCs w:val="24"/>
          <w:rtl/>
        </w:rPr>
        <w:t xml:space="preserve">בימינו, הרב משה פיינשטיין, לצד רבנים אחרים, טוען בתוקף כי נשים לא פחות קדושות מגברים. </w:t>
      </w:r>
    </w:p>
    <w:p w14:paraId="31DD4CF2" w14:textId="77777777" w:rsidR="000C1943" w:rsidRPr="000C1943" w:rsidRDefault="000C1943" w:rsidP="002C40E1">
      <w:pPr>
        <w:pStyle w:val="HashkafahText"/>
        <w:spacing w:after="0" w:line="240" w:lineRule="auto"/>
        <w:jc w:val="both"/>
        <w:rPr>
          <w:sz w:val="24"/>
          <w:szCs w:val="24"/>
          <w:rtl/>
        </w:rPr>
      </w:pPr>
    </w:p>
    <w:p w14:paraId="3FB77558" w14:textId="77777777" w:rsidR="00A65FB0" w:rsidRPr="000C1943" w:rsidRDefault="00A65FB0" w:rsidP="002C40E1">
      <w:pPr>
        <w:spacing w:after="0" w:line="240" w:lineRule="auto"/>
        <w:rPr>
          <w:sz w:val="24"/>
          <w:szCs w:val="24"/>
        </w:rPr>
      </w:pPr>
      <w:r w:rsidRPr="000C1943">
        <w:rPr>
          <w:rFonts w:hint="cs"/>
          <w:sz w:val="24"/>
          <w:szCs w:val="24"/>
          <w:rtl/>
        </w:rPr>
        <w:t>אגרות משה או”ח חלק ד, מט </w:t>
      </w:r>
    </w:p>
    <w:p w14:paraId="7C1D8855" w14:textId="77777777" w:rsidR="00A65FB0" w:rsidRPr="000C1943" w:rsidRDefault="00A65FB0" w:rsidP="002C40E1">
      <w:pPr>
        <w:spacing w:after="0" w:line="240" w:lineRule="auto"/>
        <w:ind w:left="1440"/>
        <w:rPr>
          <w:sz w:val="24"/>
          <w:szCs w:val="24"/>
          <w:rtl/>
        </w:rPr>
      </w:pPr>
      <w:r w:rsidRPr="000C1943">
        <w:rPr>
          <w:rFonts w:hint="cs"/>
          <w:sz w:val="24"/>
          <w:szCs w:val="24"/>
          <w:rtl/>
        </w:rPr>
        <w:t>דלענין הקדושה שוות לאנשים …</w:t>
      </w:r>
    </w:p>
    <w:p w14:paraId="59D52ECA" w14:textId="77777777" w:rsidR="000C1943" w:rsidRDefault="000C1943" w:rsidP="002C40E1">
      <w:pPr>
        <w:pStyle w:val="HashkafahText"/>
        <w:spacing w:after="0" w:line="240" w:lineRule="auto"/>
        <w:jc w:val="both"/>
        <w:rPr>
          <w:sz w:val="24"/>
          <w:szCs w:val="24"/>
          <w:rtl/>
        </w:rPr>
      </w:pPr>
    </w:p>
    <w:p w14:paraId="14041D24" w14:textId="5FDDC4D6" w:rsidR="00A65FB0" w:rsidRDefault="00A65FB0" w:rsidP="002C40E1">
      <w:pPr>
        <w:pStyle w:val="HashkafahText"/>
        <w:spacing w:after="0" w:line="240" w:lineRule="auto"/>
        <w:jc w:val="both"/>
        <w:rPr>
          <w:sz w:val="24"/>
          <w:szCs w:val="24"/>
          <w:rtl/>
        </w:rPr>
      </w:pPr>
      <w:r w:rsidRPr="000C1943">
        <w:rPr>
          <w:rFonts w:hint="cs"/>
          <w:sz w:val="24"/>
          <w:szCs w:val="24"/>
          <w:rtl/>
        </w:rPr>
        <w:t>מדוע, אם כן, בסופו של דבר אנו מבינים את דברי הגמרא לגבי השכינה במניין כמתייחסת אך ורק לגברים?</w:t>
      </w:r>
    </w:p>
    <w:p w14:paraId="00198764" w14:textId="77777777" w:rsidR="000C1943" w:rsidRPr="000C1943" w:rsidRDefault="000C1943" w:rsidP="002C40E1">
      <w:pPr>
        <w:pStyle w:val="HashkafahText"/>
        <w:spacing w:after="0" w:line="240" w:lineRule="auto"/>
        <w:jc w:val="both"/>
        <w:rPr>
          <w:sz w:val="24"/>
          <w:szCs w:val="24"/>
          <w:rtl/>
        </w:rPr>
      </w:pPr>
    </w:p>
    <w:p w14:paraId="7CDEB615" w14:textId="77777777" w:rsidR="00A65FB0" w:rsidRDefault="00A65FB0" w:rsidP="002C40E1">
      <w:pPr>
        <w:pStyle w:val="HashkafahText"/>
        <w:spacing w:after="0" w:line="240" w:lineRule="auto"/>
        <w:jc w:val="both"/>
        <w:rPr>
          <w:sz w:val="24"/>
          <w:szCs w:val="24"/>
          <w:rtl/>
        </w:rPr>
      </w:pPr>
      <w:r w:rsidRPr="000C1943">
        <w:rPr>
          <w:rFonts w:hint="cs"/>
          <w:sz w:val="24"/>
          <w:szCs w:val="24"/>
          <w:rtl/>
        </w:rPr>
        <w:t>התשובה היא שאנחנו לא מפרשים כך. אם נחזור לגמרא על השכינה בתפילה, בנוסף לאמירה הראשונית שהשכינה שוכנת בבית הכנסת מבלי קשר למי שנמצא שם, בהמשך הקטע נראה כי השראת שכינה כלל אינה מיוחדת לקבוצה של עשרה גברים:</w:t>
      </w:r>
    </w:p>
    <w:p w14:paraId="345214E0" w14:textId="77777777" w:rsidR="000C1943" w:rsidRPr="000C1943" w:rsidRDefault="000C1943" w:rsidP="002C40E1">
      <w:pPr>
        <w:pStyle w:val="HashkafahText"/>
        <w:spacing w:after="0" w:line="240" w:lineRule="auto"/>
        <w:jc w:val="both"/>
        <w:rPr>
          <w:sz w:val="24"/>
          <w:szCs w:val="24"/>
          <w:rtl/>
        </w:rPr>
      </w:pPr>
    </w:p>
    <w:p w14:paraId="06FC32D4" w14:textId="77777777" w:rsidR="00A65FB0" w:rsidRPr="000C1943" w:rsidRDefault="00A65FB0" w:rsidP="002C40E1">
      <w:pPr>
        <w:spacing w:after="0" w:line="240" w:lineRule="auto"/>
        <w:jc w:val="both"/>
        <w:rPr>
          <w:sz w:val="24"/>
          <w:szCs w:val="24"/>
        </w:rPr>
      </w:pPr>
      <w:r w:rsidRPr="000C1943">
        <w:rPr>
          <w:rFonts w:hint="cs"/>
          <w:sz w:val="24"/>
          <w:szCs w:val="24"/>
          <w:rtl/>
        </w:rPr>
        <w:t>ברכות ו ע"א </w:t>
      </w:r>
    </w:p>
    <w:p w14:paraId="14369169" w14:textId="77777777" w:rsidR="00A65FB0" w:rsidRDefault="00A65FB0" w:rsidP="002C40E1">
      <w:pPr>
        <w:spacing w:after="0" w:line="240" w:lineRule="auto"/>
        <w:ind w:left="720"/>
        <w:jc w:val="both"/>
        <w:rPr>
          <w:sz w:val="24"/>
          <w:szCs w:val="24"/>
          <w:rtl/>
        </w:rPr>
      </w:pPr>
      <w:r w:rsidRPr="000C1943">
        <w:rPr>
          <w:rFonts w:hint="cs"/>
          <w:sz w:val="24"/>
          <w:szCs w:val="24"/>
          <w:rtl/>
        </w:rPr>
        <w:t>אמר רבין בר רב אדא אמר רבי יצחק: מנין שהקדוש ברוך הוא מצוי בבית הכנסת – שנאמר: אלקים נצב בעדת אל; ומנין לעשרה שמתפללין ששכינה עמהם – שנאמר: אלקים נצב בעדת אל; ומנין לשלשה שיושבין בדין ששכינה עמהם… ומנין לשנים שיושבין ועוסקין בתורה ששכינה עמהם… ומנין שאפילו אחד שיושב ועוסק בתורה ששכינה עמו… וכי מאחר דאפילו חד [שאפילו אחד (שכינה עמו)] – תרי מבעיא [שניים היה צריך לומר]? – תרי מכתבן מלייהו [שניים נכתבים דבריהם] בספר הזכרונות, חד לא מכתבן מליה [אחד לא נכתבים דבריו] בספר הזכרונות. … וכי מאחר דאפילו תלתא [שלושה] – עשרה מבעיא [צריך היה לומר]? – עשרה קדמה שכינה ואתיא [מקדימה השכינה ובאה], תלתא – עד דיתבי [שלושה – (באה השכינה)</w:t>
      </w:r>
      <w:r w:rsidRPr="000C1943">
        <w:rPr>
          <w:rFonts w:hint="cs"/>
          <w:sz w:val="24"/>
          <w:szCs w:val="24"/>
        </w:rPr>
        <w:t xml:space="preserve"> </w:t>
      </w:r>
      <w:r w:rsidRPr="000C1943">
        <w:rPr>
          <w:rFonts w:hint="cs"/>
          <w:sz w:val="24"/>
          <w:szCs w:val="24"/>
          <w:rtl/>
        </w:rPr>
        <w:t>רק כשיושבים (בדין)].</w:t>
      </w:r>
    </w:p>
    <w:p w14:paraId="47213E97" w14:textId="77777777" w:rsidR="000C1943" w:rsidRPr="000C1943" w:rsidRDefault="000C1943" w:rsidP="002C40E1">
      <w:pPr>
        <w:spacing w:after="0" w:line="240" w:lineRule="auto"/>
        <w:ind w:left="720"/>
        <w:jc w:val="both"/>
        <w:rPr>
          <w:sz w:val="24"/>
          <w:szCs w:val="24"/>
          <w:rtl/>
        </w:rPr>
      </w:pPr>
    </w:p>
    <w:p w14:paraId="0C752AEF" w14:textId="77777777" w:rsidR="00A65FB0" w:rsidRDefault="00A65FB0" w:rsidP="002C40E1">
      <w:pPr>
        <w:pStyle w:val="HashkafahText"/>
        <w:spacing w:after="0" w:line="240" w:lineRule="auto"/>
        <w:jc w:val="both"/>
        <w:rPr>
          <w:sz w:val="24"/>
          <w:szCs w:val="24"/>
          <w:rtl/>
        </w:rPr>
      </w:pPr>
      <w:r w:rsidRPr="000C1943">
        <w:rPr>
          <w:rFonts w:hint="cs"/>
          <w:sz w:val="24"/>
          <w:szCs w:val="24"/>
          <w:rtl/>
        </w:rPr>
        <w:t>במילים אחרות, השכינה שורה במצבים שונים שבהם אנחנו עובדים את ה', ובטווח רחב של מספר אנשים, החל מאדם אחד. לכן הגיוני שהשכינה תשרה גם כאשר עשר נשים מתפללות, בדיוק כפי שהיא תשרה כאשר אישה לומדת תורה.</w:t>
      </w:r>
    </w:p>
    <w:p w14:paraId="5E7FBB6F" w14:textId="77777777" w:rsidR="000C1943" w:rsidRPr="000C1943" w:rsidRDefault="000C1943" w:rsidP="002C40E1">
      <w:pPr>
        <w:pStyle w:val="HashkafahText"/>
        <w:spacing w:after="0" w:line="240" w:lineRule="auto"/>
        <w:jc w:val="both"/>
        <w:rPr>
          <w:sz w:val="24"/>
          <w:szCs w:val="24"/>
          <w:rtl/>
        </w:rPr>
      </w:pPr>
    </w:p>
    <w:p w14:paraId="05FCD8BC" w14:textId="77777777" w:rsidR="00A65FB0" w:rsidRDefault="00A65FB0" w:rsidP="002C40E1">
      <w:pPr>
        <w:pStyle w:val="HashkafahText"/>
        <w:spacing w:after="0" w:line="240" w:lineRule="auto"/>
        <w:jc w:val="both"/>
        <w:rPr>
          <w:sz w:val="24"/>
          <w:szCs w:val="24"/>
          <w:rtl/>
        </w:rPr>
      </w:pPr>
      <w:r w:rsidRPr="000C1943">
        <w:rPr>
          <w:rFonts w:hint="cs"/>
          <w:sz w:val="24"/>
          <w:szCs w:val="24"/>
          <w:rtl/>
        </w:rPr>
        <w:t xml:space="preserve">יש גבול למה שאנו יכולים לדעת בוודאות על השכינה. בהתבסס על גמרא זו, ייתכן שישנה השראת שכינה מיוחדת בתפילה במניין של עשרה אנשים, מה שיכול להשפיע על ההלכה. עם זאת, אין הכוונה שהשכינה אינה שורה בקבוצת אחרות. </w:t>
      </w:r>
    </w:p>
    <w:p w14:paraId="5A72D174" w14:textId="77777777" w:rsidR="000C1943" w:rsidRPr="000C1943" w:rsidRDefault="000C1943" w:rsidP="002C40E1">
      <w:pPr>
        <w:pStyle w:val="HashkafahText"/>
        <w:spacing w:after="0" w:line="240" w:lineRule="auto"/>
        <w:jc w:val="both"/>
        <w:rPr>
          <w:sz w:val="24"/>
          <w:szCs w:val="24"/>
          <w:rtl/>
        </w:rPr>
      </w:pPr>
    </w:p>
    <w:p w14:paraId="501369D4" w14:textId="77777777" w:rsidR="00A65FB0" w:rsidRDefault="00A65FB0" w:rsidP="002C40E1">
      <w:pPr>
        <w:pStyle w:val="Heading1"/>
        <w:spacing w:before="0" w:line="240" w:lineRule="auto"/>
        <w:jc w:val="both"/>
        <w:rPr>
          <w:sz w:val="24"/>
          <w:szCs w:val="24"/>
          <w:rtl/>
        </w:rPr>
      </w:pPr>
      <w:r w:rsidRPr="000C1943">
        <w:rPr>
          <w:rFonts w:hint="cs"/>
          <w:sz w:val="24"/>
          <w:szCs w:val="24"/>
          <w:rtl/>
        </w:rPr>
        <w:t>מניין</w:t>
      </w:r>
    </w:p>
    <w:p w14:paraId="2B0983D9" w14:textId="77777777" w:rsidR="000C1943" w:rsidRPr="000C1943" w:rsidRDefault="000C1943" w:rsidP="002C40E1">
      <w:pPr>
        <w:spacing w:after="0" w:line="240" w:lineRule="auto"/>
        <w:rPr>
          <w:rtl/>
        </w:rPr>
      </w:pPr>
    </w:p>
    <w:p w14:paraId="13CFD970" w14:textId="77777777" w:rsidR="00A65FB0" w:rsidRDefault="00A65FB0" w:rsidP="002C40E1">
      <w:pPr>
        <w:spacing w:after="0" w:line="240" w:lineRule="auto"/>
        <w:jc w:val="both"/>
        <w:rPr>
          <w:sz w:val="24"/>
          <w:szCs w:val="24"/>
          <w:rtl/>
        </w:rPr>
      </w:pPr>
      <w:r w:rsidRPr="000C1943">
        <w:rPr>
          <w:rFonts w:hint="cs"/>
          <w:sz w:val="24"/>
          <w:szCs w:val="24"/>
          <w:rtl/>
        </w:rPr>
        <w:t>ראינו לעיל שתפילה בציבור מאפשרת הזדמנות רוחנית ייחודית. ה' אינו מואס בתפילה בציבור, והוא משרה את שכינתו בקרב המתפללים.</w:t>
      </w:r>
    </w:p>
    <w:p w14:paraId="3F274550" w14:textId="77777777" w:rsidR="000C1943" w:rsidRPr="000C1943" w:rsidRDefault="000C1943" w:rsidP="002C40E1">
      <w:pPr>
        <w:spacing w:after="0" w:line="240" w:lineRule="auto"/>
        <w:jc w:val="both"/>
        <w:rPr>
          <w:sz w:val="24"/>
          <w:szCs w:val="24"/>
          <w:rtl/>
        </w:rPr>
      </w:pPr>
    </w:p>
    <w:p w14:paraId="27D554FD" w14:textId="77777777" w:rsidR="00A65FB0" w:rsidRDefault="00A65FB0" w:rsidP="002C40E1">
      <w:pPr>
        <w:spacing w:after="0" w:line="240" w:lineRule="auto"/>
        <w:jc w:val="both"/>
        <w:rPr>
          <w:sz w:val="24"/>
          <w:szCs w:val="24"/>
          <w:rtl/>
        </w:rPr>
      </w:pPr>
      <w:r w:rsidRPr="000C1943">
        <w:rPr>
          <w:rFonts w:hint="cs"/>
          <w:sz w:val="24"/>
          <w:szCs w:val="24"/>
          <w:rtl/>
        </w:rPr>
        <w:t>מבחינה הלכתית, ישנם מספר חלקים בתפילה הדורשים מניין של עשרה אנשים:</w:t>
      </w:r>
    </w:p>
    <w:p w14:paraId="312FA10F" w14:textId="77777777" w:rsidR="000C1943" w:rsidRPr="000C1943" w:rsidRDefault="000C1943" w:rsidP="002C40E1">
      <w:pPr>
        <w:spacing w:after="0" w:line="240" w:lineRule="auto"/>
        <w:jc w:val="both"/>
        <w:rPr>
          <w:sz w:val="24"/>
          <w:szCs w:val="24"/>
          <w:rtl/>
        </w:rPr>
      </w:pPr>
    </w:p>
    <w:p w14:paraId="3E2A2356" w14:textId="77777777" w:rsidR="00A65FB0" w:rsidRPr="000C1943" w:rsidRDefault="00A65FB0" w:rsidP="002C40E1">
      <w:pPr>
        <w:spacing w:after="0" w:line="240" w:lineRule="auto"/>
        <w:rPr>
          <w:sz w:val="24"/>
          <w:szCs w:val="24"/>
        </w:rPr>
      </w:pPr>
      <w:r w:rsidRPr="000C1943">
        <w:rPr>
          <w:rFonts w:hint="cs"/>
          <w:sz w:val="24"/>
          <w:szCs w:val="24"/>
          <w:rtl/>
        </w:rPr>
        <w:lastRenderedPageBreak/>
        <w:t>משנה מגילה ד, ג </w:t>
      </w:r>
    </w:p>
    <w:p w14:paraId="719A6146" w14:textId="77777777" w:rsidR="00A65FB0" w:rsidRDefault="00A65FB0" w:rsidP="002C40E1">
      <w:pPr>
        <w:spacing w:after="0" w:line="240" w:lineRule="auto"/>
        <w:ind w:left="720"/>
        <w:rPr>
          <w:sz w:val="24"/>
          <w:szCs w:val="24"/>
          <w:rtl/>
        </w:rPr>
      </w:pPr>
      <w:r w:rsidRPr="000C1943">
        <w:rPr>
          <w:rFonts w:hint="cs"/>
          <w:sz w:val="24"/>
          <w:szCs w:val="24"/>
          <w:rtl/>
        </w:rPr>
        <w:t>אין פורסין את שמע [אין אומרים קריאת שמע וחלק מברכותיה על ידי שליח ציבור, בעיקר לצורך מאחרים] ואין עוברין לפני התיבה ואין נושאין את כפיהם ואין קורין בתורה ואין מפטירין בנביא… פחות מעשרה</w:t>
      </w:r>
    </w:p>
    <w:p w14:paraId="76C0A7AC" w14:textId="77777777" w:rsidR="000C1943" w:rsidRPr="000C1943" w:rsidRDefault="000C1943" w:rsidP="002C40E1">
      <w:pPr>
        <w:spacing w:after="0" w:line="240" w:lineRule="auto"/>
        <w:ind w:left="720"/>
        <w:rPr>
          <w:sz w:val="24"/>
          <w:szCs w:val="24"/>
          <w:rtl/>
        </w:rPr>
      </w:pPr>
    </w:p>
    <w:p w14:paraId="4A929BC3" w14:textId="77777777" w:rsidR="00A65FB0" w:rsidRDefault="00A65FB0" w:rsidP="002C40E1">
      <w:pPr>
        <w:spacing w:after="0" w:line="240" w:lineRule="auto"/>
        <w:jc w:val="both"/>
        <w:rPr>
          <w:sz w:val="24"/>
          <w:szCs w:val="24"/>
          <w:rtl/>
        </w:rPr>
      </w:pPr>
      <w:r w:rsidRPr="000C1943">
        <w:rPr>
          <w:rFonts w:hint="cs"/>
          <w:sz w:val="24"/>
          <w:szCs w:val="24"/>
          <w:rtl/>
        </w:rPr>
        <w:t>הגמרא מוסיפה גם את אמירת קדושה לרשימה,</w:t>
      </w:r>
      <w:r w:rsidRPr="000C1943">
        <w:rPr>
          <w:rStyle w:val="FootnoteReference"/>
          <w:sz w:val="24"/>
          <w:szCs w:val="24"/>
          <w:rtl/>
        </w:rPr>
        <w:footnoteReference w:id="5"/>
      </w:r>
      <w:r w:rsidRPr="000C1943">
        <w:rPr>
          <w:rFonts w:hint="cs"/>
          <w:sz w:val="24"/>
          <w:szCs w:val="24"/>
          <w:rtl/>
        </w:rPr>
        <w:t xml:space="preserve"> ומסכת סופרים מציינת שתי תפילות נוספות המצריכות מניין:</w:t>
      </w:r>
    </w:p>
    <w:p w14:paraId="47DC64F7" w14:textId="77777777" w:rsidR="000C1943" w:rsidRPr="000C1943" w:rsidRDefault="000C1943" w:rsidP="002C40E1">
      <w:pPr>
        <w:spacing w:after="0" w:line="240" w:lineRule="auto"/>
        <w:jc w:val="both"/>
        <w:rPr>
          <w:sz w:val="24"/>
          <w:szCs w:val="24"/>
          <w:rtl/>
        </w:rPr>
      </w:pPr>
    </w:p>
    <w:p w14:paraId="756E5FE1" w14:textId="77777777" w:rsidR="00A65FB0" w:rsidRPr="000C1943" w:rsidRDefault="00A65FB0" w:rsidP="002C40E1">
      <w:pPr>
        <w:spacing w:after="0" w:line="240" w:lineRule="auto"/>
        <w:jc w:val="both"/>
        <w:rPr>
          <w:sz w:val="24"/>
          <w:szCs w:val="24"/>
        </w:rPr>
      </w:pPr>
      <w:r w:rsidRPr="000C1943">
        <w:rPr>
          <w:rFonts w:hint="cs"/>
          <w:sz w:val="24"/>
          <w:szCs w:val="24"/>
          <w:rtl/>
        </w:rPr>
        <w:t>מסכת סופרים י, ו </w:t>
      </w:r>
    </w:p>
    <w:p w14:paraId="266124FD" w14:textId="77777777" w:rsidR="00A65FB0" w:rsidRPr="000C1943" w:rsidRDefault="00A65FB0" w:rsidP="002C40E1">
      <w:pPr>
        <w:spacing w:after="0" w:line="240" w:lineRule="auto"/>
        <w:ind w:left="720"/>
        <w:jc w:val="both"/>
        <w:rPr>
          <w:sz w:val="24"/>
          <w:szCs w:val="24"/>
          <w:rtl/>
        </w:rPr>
      </w:pPr>
      <w:r w:rsidRPr="000C1943">
        <w:rPr>
          <w:rFonts w:hint="cs"/>
          <w:sz w:val="24"/>
          <w:szCs w:val="24"/>
          <w:rtl/>
        </w:rPr>
        <w:t>…ואין אומרין קדיש וברכו פחות מעשרה</w:t>
      </w:r>
    </w:p>
    <w:p w14:paraId="20BBA1E9" w14:textId="77777777" w:rsidR="000C1943" w:rsidRDefault="000C1943" w:rsidP="002C40E1">
      <w:pPr>
        <w:spacing w:after="0" w:line="240" w:lineRule="auto"/>
        <w:jc w:val="both"/>
        <w:rPr>
          <w:sz w:val="24"/>
          <w:szCs w:val="24"/>
          <w:rtl/>
        </w:rPr>
      </w:pPr>
    </w:p>
    <w:p w14:paraId="77D4C743" w14:textId="6D1A304B" w:rsidR="00A65FB0" w:rsidRDefault="00A65FB0" w:rsidP="002C40E1">
      <w:pPr>
        <w:spacing w:after="0" w:line="240" w:lineRule="auto"/>
        <w:jc w:val="both"/>
        <w:rPr>
          <w:sz w:val="24"/>
          <w:szCs w:val="24"/>
          <w:rtl/>
        </w:rPr>
      </w:pPr>
      <w:r w:rsidRPr="000C1943">
        <w:rPr>
          <w:rFonts w:hint="cs"/>
          <w:sz w:val="24"/>
          <w:szCs w:val="24"/>
          <w:rtl/>
        </w:rPr>
        <w:t>מדוע על המניין להיות מורכב מעשרה? ייתכן שזאת משום שזהו המספר המינימלי לקהילה, כפי שמציעות הדוגמאות מהתורה המובאות לעיל. אפשרות נוספת היא בגלל העיקרון המובא בגמרא שהתאספות של עשרה מבטיחה את השראת השכינה.</w:t>
      </w:r>
      <w:r w:rsidRPr="000C1943">
        <w:rPr>
          <w:rStyle w:val="FootnoteReference"/>
          <w:sz w:val="24"/>
          <w:szCs w:val="24"/>
          <w:rtl/>
        </w:rPr>
        <w:footnoteReference w:id="6"/>
      </w:r>
    </w:p>
    <w:p w14:paraId="032C35A9" w14:textId="77777777" w:rsidR="000C1943" w:rsidRPr="000C1943" w:rsidRDefault="000C1943" w:rsidP="002C40E1">
      <w:pPr>
        <w:spacing w:after="0" w:line="240" w:lineRule="auto"/>
        <w:jc w:val="both"/>
        <w:rPr>
          <w:sz w:val="24"/>
          <w:szCs w:val="24"/>
          <w:rtl/>
        </w:rPr>
      </w:pPr>
    </w:p>
    <w:p w14:paraId="38ED4EE0" w14:textId="77777777" w:rsidR="00A65FB0" w:rsidRDefault="00A65FB0" w:rsidP="002C40E1">
      <w:pPr>
        <w:spacing w:after="0" w:line="240" w:lineRule="auto"/>
        <w:jc w:val="both"/>
        <w:rPr>
          <w:sz w:val="24"/>
          <w:szCs w:val="24"/>
          <w:rtl/>
        </w:rPr>
      </w:pPr>
      <w:r w:rsidRPr="000C1943">
        <w:rPr>
          <w:rFonts w:hint="cs"/>
          <w:sz w:val="24"/>
          <w:szCs w:val="24"/>
          <w:rtl/>
        </w:rPr>
        <w:t>שני התלמודים משתמשים בגזירה שווה כדי לפרש את המשנה הזאת,</w:t>
      </w:r>
      <w:r w:rsidRPr="000C1943">
        <w:rPr>
          <w:rStyle w:val="FootnoteReference"/>
          <w:sz w:val="24"/>
          <w:szCs w:val="24"/>
          <w:rtl/>
        </w:rPr>
        <w:footnoteReference w:id="7"/>
      </w:r>
      <w:r w:rsidRPr="000C1943">
        <w:rPr>
          <w:rFonts w:hint="cs"/>
          <w:sz w:val="24"/>
          <w:szCs w:val="24"/>
          <w:rtl/>
        </w:rPr>
        <w:t xml:space="preserve"> באמצעות הפסוקים בתורה המתייחסים לקהילות של עשרה. נקודת המוצא היא פסוק המתאר את החובה לקדש את שם ה':</w:t>
      </w:r>
    </w:p>
    <w:p w14:paraId="45DC08AA" w14:textId="77777777" w:rsidR="000C1943" w:rsidRPr="000C1943" w:rsidRDefault="000C1943" w:rsidP="002C40E1">
      <w:pPr>
        <w:spacing w:after="0" w:line="240" w:lineRule="auto"/>
        <w:jc w:val="both"/>
        <w:rPr>
          <w:sz w:val="24"/>
          <w:szCs w:val="24"/>
          <w:rtl/>
        </w:rPr>
      </w:pPr>
    </w:p>
    <w:p w14:paraId="02F7B2D5" w14:textId="77777777" w:rsidR="00A65FB0" w:rsidRPr="000C1943" w:rsidRDefault="00A65FB0" w:rsidP="002C40E1">
      <w:pPr>
        <w:spacing w:after="0" w:line="240" w:lineRule="auto"/>
        <w:rPr>
          <w:sz w:val="24"/>
          <w:szCs w:val="24"/>
        </w:rPr>
      </w:pPr>
      <w:r w:rsidRPr="000C1943">
        <w:rPr>
          <w:rFonts w:hint="cs"/>
          <w:sz w:val="24"/>
          <w:szCs w:val="24"/>
          <w:rtl/>
        </w:rPr>
        <w:t>ויקרא כ"ב, לב </w:t>
      </w:r>
    </w:p>
    <w:p w14:paraId="7394457B" w14:textId="77777777" w:rsidR="00A65FB0" w:rsidRPr="000C1943" w:rsidRDefault="00A65FB0" w:rsidP="002C40E1">
      <w:pPr>
        <w:spacing w:after="0" w:line="240" w:lineRule="auto"/>
        <w:ind w:left="720"/>
        <w:rPr>
          <w:sz w:val="24"/>
          <w:szCs w:val="24"/>
          <w:rtl/>
        </w:rPr>
      </w:pPr>
      <w:r w:rsidRPr="000C1943">
        <w:rPr>
          <w:rFonts w:hint="cs"/>
          <w:sz w:val="24"/>
          <w:szCs w:val="24"/>
          <w:rtl/>
        </w:rPr>
        <w:t>וְלֹא תְחַלְּלוּ אֶת שֵׁם קָדְשִׁי וְנִקְדַּשְׁתִּי בְּתוֹךְ בְּנֵי יִשְׂרָאֵל אֲנִי ה’ מְקַדִּשְׁכֶם.</w:t>
      </w:r>
    </w:p>
    <w:p w14:paraId="6BEF6F8B" w14:textId="77777777" w:rsidR="000C1943" w:rsidRDefault="000C1943" w:rsidP="002C40E1">
      <w:pPr>
        <w:spacing w:after="0" w:line="240" w:lineRule="auto"/>
        <w:jc w:val="both"/>
        <w:rPr>
          <w:sz w:val="24"/>
          <w:szCs w:val="24"/>
          <w:rtl/>
        </w:rPr>
      </w:pPr>
    </w:p>
    <w:p w14:paraId="1A3A710E" w14:textId="25453AD9" w:rsidR="00A65FB0" w:rsidRDefault="00A65FB0" w:rsidP="002C40E1">
      <w:pPr>
        <w:spacing w:after="0" w:line="240" w:lineRule="auto"/>
        <w:jc w:val="both"/>
        <w:rPr>
          <w:sz w:val="24"/>
          <w:szCs w:val="24"/>
          <w:rtl/>
        </w:rPr>
      </w:pPr>
      <w:r w:rsidRPr="000C1943">
        <w:rPr>
          <w:rFonts w:hint="cs"/>
          <w:sz w:val="24"/>
          <w:szCs w:val="24"/>
          <w:rtl/>
        </w:rPr>
        <w:t>מפסוק זה אנו לומדים את החובה מדאורייתא לקדש שם שמיים ברבים במצב שבו מופעל לחץ על אדם יהודי לחטוא בפני עשרה יהודים אחרים.</w:t>
      </w:r>
      <w:r w:rsidRPr="000C1943">
        <w:rPr>
          <w:rStyle w:val="FootnoteReference"/>
          <w:sz w:val="24"/>
          <w:szCs w:val="24"/>
          <w:rtl/>
        </w:rPr>
        <w:footnoteReference w:id="8"/>
      </w:r>
    </w:p>
    <w:p w14:paraId="66CE830B" w14:textId="77777777" w:rsidR="000C1943" w:rsidRPr="000C1943" w:rsidRDefault="000C1943" w:rsidP="002C40E1">
      <w:pPr>
        <w:spacing w:after="0" w:line="240" w:lineRule="auto"/>
        <w:jc w:val="both"/>
        <w:rPr>
          <w:sz w:val="24"/>
          <w:szCs w:val="24"/>
          <w:rtl/>
        </w:rPr>
      </w:pPr>
    </w:p>
    <w:p w14:paraId="4F0FE9BF" w14:textId="77777777" w:rsidR="00A65FB0" w:rsidRDefault="00A65FB0" w:rsidP="002C40E1">
      <w:pPr>
        <w:spacing w:after="0" w:line="240" w:lineRule="auto"/>
        <w:jc w:val="both"/>
        <w:rPr>
          <w:sz w:val="24"/>
          <w:szCs w:val="24"/>
          <w:rtl/>
        </w:rPr>
      </w:pPr>
      <w:r w:rsidRPr="000C1943">
        <w:rPr>
          <w:rFonts w:hint="cs"/>
          <w:sz w:val="24"/>
          <w:szCs w:val="24"/>
          <w:rtl/>
        </w:rPr>
        <w:t>הגמרא מכנה את קטעי התפילה המוזכרים במשנה "דברים שבקדושה".</w:t>
      </w:r>
    </w:p>
    <w:p w14:paraId="6EC4070A" w14:textId="77777777" w:rsidR="000C1943" w:rsidRPr="000C1943" w:rsidRDefault="000C1943" w:rsidP="002C40E1">
      <w:pPr>
        <w:spacing w:after="0" w:line="240" w:lineRule="auto"/>
        <w:jc w:val="both"/>
        <w:rPr>
          <w:sz w:val="24"/>
          <w:szCs w:val="24"/>
          <w:rtl/>
        </w:rPr>
      </w:pPr>
    </w:p>
    <w:p w14:paraId="30871F0D" w14:textId="77777777" w:rsidR="00A65FB0" w:rsidRPr="000C1943" w:rsidRDefault="00A65FB0" w:rsidP="002C40E1">
      <w:pPr>
        <w:spacing w:after="0" w:line="240" w:lineRule="auto"/>
        <w:jc w:val="both"/>
        <w:rPr>
          <w:sz w:val="24"/>
          <w:szCs w:val="24"/>
        </w:rPr>
      </w:pPr>
      <w:r w:rsidRPr="000C1943">
        <w:rPr>
          <w:rFonts w:hint="cs"/>
          <w:sz w:val="24"/>
          <w:szCs w:val="24"/>
          <w:rtl/>
        </w:rPr>
        <w:t>מגילה כג ע"ב </w:t>
      </w:r>
    </w:p>
    <w:p w14:paraId="4ABF0752" w14:textId="77777777" w:rsidR="00A65FB0" w:rsidRDefault="00A65FB0" w:rsidP="002C40E1">
      <w:pPr>
        <w:spacing w:after="0" w:line="240" w:lineRule="auto"/>
        <w:ind w:left="720"/>
        <w:jc w:val="both"/>
        <w:rPr>
          <w:sz w:val="24"/>
          <w:szCs w:val="24"/>
          <w:rtl/>
        </w:rPr>
      </w:pPr>
      <w:r w:rsidRPr="000C1943">
        <w:rPr>
          <w:rFonts w:hint="cs"/>
          <w:sz w:val="24"/>
          <w:szCs w:val="24"/>
          <w:rtl/>
        </w:rPr>
        <w:t>מנא הני מילי? אמר רבי חייא בר אבא אמר רבי יוחנן: דאמר קרא "ונקדשתי בתוך בני ישראל" (ויקרא כ"ב, לב) – כל דבר שבקדושה לא יהא פחות מעשרה. מאי משמע ? דתני רבי חייא: אתיא תוך תוך. כתיב הכא "ונקדשתי בתוך בני ישראל", וכתיב התם "הבדלו מתוך העדה" (במדבר ט"ז, כא), ואתיא עדה עדה, דכתיב התם "עד מתי לעדה הרעה הזאת" (במדבר י"ד, כז). מה להלן עשרה – אף כאן עשרה.</w:t>
      </w:r>
    </w:p>
    <w:p w14:paraId="438B1FCA" w14:textId="77777777" w:rsidR="000C1943" w:rsidRPr="000C1943" w:rsidRDefault="000C1943" w:rsidP="002C40E1">
      <w:pPr>
        <w:spacing w:after="0" w:line="240" w:lineRule="auto"/>
        <w:jc w:val="both"/>
        <w:rPr>
          <w:sz w:val="24"/>
          <w:szCs w:val="24"/>
          <w:rtl/>
        </w:rPr>
      </w:pPr>
    </w:p>
    <w:p w14:paraId="1D88A736" w14:textId="77777777" w:rsidR="00A65FB0" w:rsidRPr="000C1943" w:rsidRDefault="00A65FB0" w:rsidP="002C40E1">
      <w:pPr>
        <w:spacing w:after="0" w:line="240" w:lineRule="auto"/>
        <w:jc w:val="both"/>
        <w:rPr>
          <w:sz w:val="24"/>
          <w:szCs w:val="24"/>
          <w:rtl/>
        </w:rPr>
      </w:pPr>
      <w:r w:rsidRPr="000C1943">
        <w:rPr>
          <w:rFonts w:hint="cs"/>
          <w:sz w:val="24"/>
          <w:szCs w:val="24"/>
          <w:rtl/>
        </w:rPr>
        <w:t>תרגום</w:t>
      </w:r>
    </w:p>
    <w:p w14:paraId="1E8394F7" w14:textId="77777777" w:rsidR="00A65FB0" w:rsidRPr="000C1943" w:rsidRDefault="00A65FB0" w:rsidP="002C40E1">
      <w:pPr>
        <w:spacing w:after="0" w:line="240" w:lineRule="auto"/>
        <w:ind w:left="720"/>
        <w:jc w:val="both"/>
        <w:rPr>
          <w:sz w:val="24"/>
          <w:szCs w:val="24"/>
          <w:rtl/>
        </w:rPr>
      </w:pPr>
      <w:r w:rsidRPr="000C1943">
        <w:rPr>
          <w:rFonts w:hint="cs"/>
          <w:sz w:val="24"/>
          <w:szCs w:val="24"/>
          <w:rtl/>
        </w:rPr>
        <w:lastRenderedPageBreak/>
        <w:t>מנין הדברים האלו? אמר רבי חייא בר אבא אמר רבי יוחנן: שאמר הפסוק "ונקדשתי בתוך בני ישראל" (ויקרא כ"ב, לב) – כל דבר שבקדושה לא יהיה פחות מעשרה. מה משמיע [את זה]? שלימד רבי חייא: באה [גזירה שווה מהמילים] "תוך"-"תוך". כתוב כאן "ונקדשתי בתוך בני ישראל", וכתוב שם "הבדלו מתוך העדה" (במדבר ט"ז, כא). ובאה [גזירה שווה מהמילים] "עדה"-"עדה", שכתוב שם "עד מתי לעדה הרעה הזאת" (במדבר י"ד, כז). כפי שלהלן עשרה – אף כאן עשרה.</w:t>
      </w:r>
    </w:p>
    <w:p w14:paraId="38F6931C" w14:textId="77777777" w:rsidR="00A65FB0" w:rsidRPr="000C1943" w:rsidRDefault="00A65FB0" w:rsidP="002C40E1">
      <w:pPr>
        <w:pStyle w:val="SourceText"/>
        <w:spacing w:after="0" w:line="240" w:lineRule="auto"/>
        <w:jc w:val="both"/>
        <w:rPr>
          <w:sz w:val="24"/>
          <w:szCs w:val="24"/>
          <w:rtl/>
        </w:rPr>
      </w:pPr>
    </w:p>
    <w:p w14:paraId="667668AB" w14:textId="77777777" w:rsidR="00A65FB0" w:rsidRDefault="00A65FB0" w:rsidP="002C40E1">
      <w:pPr>
        <w:spacing w:after="0" w:line="240" w:lineRule="auto"/>
        <w:jc w:val="both"/>
        <w:rPr>
          <w:sz w:val="24"/>
          <w:szCs w:val="24"/>
          <w:rtl/>
        </w:rPr>
      </w:pPr>
      <w:r w:rsidRPr="000C1943">
        <w:rPr>
          <w:rFonts w:hint="cs"/>
          <w:sz w:val="24"/>
          <w:szCs w:val="24"/>
          <w:rtl/>
        </w:rPr>
        <w:t>הגמרא דורשת את המספר עשר באמצעות גזירה שווה כפולה:</w:t>
      </w:r>
      <w:r w:rsidRPr="000C1943">
        <w:rPr>
          <w:rStyle w:val="FootnoteReference"/>
          <w:sz w:val="24"/>
          <w:szCs w:val="24"/>
          <w:rtl/>
        </w:rPr>
        <w:footnoteReference w:id="9"/>
      </w:r>
    </w:p>
    <w:p w14:paraId="53186E32" w14:textId="77777777" w:rsidR="000C1943" w:rsidRPr="000C1943" w:rsidRDefault="000C1943" w:rsidP="002C40E1">
      <w:pPr>
        <w:spacing w:after="0" w:line="240" w:lineRule="auto"/>
        <w:jc w:val="both"/>
        <w:rPr>
          <w:sz w:val="24"/>
          <w:szCs w:val="24"/>
          <w:rtl/>
        </w:rPr>
      </w:pPr>
    </w:p>
    <w:p w14:paraId="679A5D9B" w14:textId="77777777" w:rsidR="00A65FB0" w:rsidRDefault="00A65FB0" w:rsidP="002C40E1">
      <w:pPr>
        <w:spacing w:after="0" w:line="240" w:lineRule="auto"/>
        <w:jc w:val="both"/>
        <w:rPr>
          <w:sz w:val="24"/>
          <w:szCs w:val="24"/>
          <w:rtl/>
        </w:rPr>
      </w:pPr>
      <w:r w:rsidRPr="000C1943">
        <w:rPr>
          <w:rFonts w:hint="cs"/>
          <w:sz w:val="24"/>
          <w:szCs w:val="24"/>
          <w:rtl/>
        </w:rPr>
        <w:t xml:space="preserve">בפסוק בויקרא כתוב שה' נקדש </w:t>
      </w:r>
      <w:r w:rsidRPr="000C1943">
        <w:rPr>
          <w:rFonts w:hint="cs"/>
          <w:b/>
          <w:bCs/>
          <w:sz w:val="24"/>
          <w:szCs w:val="24"/>
          <w:rtl/>
        </w:rPr>
        <w:t>בתוך</w:t>
      </w:r>
      <w:r w:rsidRPr="000C1943">
        <w:rPr>
          <w:rFonts w:hint="cs"/>
          <w:sz w:val="24"/>
          <w:szCs w:val="24"/>
          <w:rtl/>
        </w:rPr>
        <w:t xml:space="preserve"> בני ישראל. המילה "בתוך" מתקשרת למילה "תוך" המופיעה כאשר משה ואהרון מצווים להיבדל "</w:t>
      </w:r>
      <w:r w:rsidRPr="000C1943">
        <w:rPr>
          <w:rFonts w:hint="cs"/>
          <w:b/>
          <w:bCs/>
          <w:sz w:val="24"/>
          <w:szCs w:val="24"/>
          <w:rtl/>
        </w:rPr>
        <w:t>מתוך</w:t>
      </w:r>
      <w:r w:rsidRPr="000C1943">
        <w:rPr>
          <w:rFonts w:hint="cs"/>
          <w:sz w:val="24"/>
          <w:szCs w:val="24"/>
          <w:rtl/>
        </w:rPr>
        <w:t xml:space="preserve"> העדה" במרד של קרח ועדתו. המילה "</w:t>
      </w:r>
      <w:r w:rsidRPr="000C1943">
        <w:rPr>
          <w:rFonts w:hint="cs"/>
          <w:b/>
          <w:bCs/>
          <w:sz w:val="24"/>
          <w:szCs w:val="24"/>
          <w:rtl/>
        </w:rPr>
        <w:t>עדה</w:t>
      </w:r>
      <w:r w:rsidRPr="000C1943">
        <w:rPr>
          <w:rFonts w:hint="cs"/>
          <w:sz w:val="24"/>
          <w:szCs w:val="24"/>
          <w:rtl/>
        </w:rPr>
        <w:t>" בפסוק על משה ואהרון מתקשרת למילה "</w:t>
      </w:r>
      <w:r w:rsidRPr="000C1943">
        <w:rPr>
          <w:rFonts w:hint="cs"/>
          <w:b/>
          <w:bCs/>
          <w:sz w:val="24"/>
          <w:szCs w:val="24"/>
          <w:rtl/>
        </w:rPr>
        <w:t>עדה</w:t>
      </w:r>
      <w:r w:rsidRPr="000C1943">
        <w:rPr>
          <w:rFonts w:hint="cs"/>
          <w:sz w:val="24"/>
          <w:szCs w:val="24"/>
          <w:rtl/>
        </w:rPr>
        <w:t>" בפסוק אחר הכותב "ל</w:t>
      </w:r>
      <w:r w:rsidRPr="000C1943">
        <w:rPr>
          <w:rFonts w:hint="cs"/>
          <w:b/>
          <w:bCs/>
          <w:sz w:val="24"/>
          <w:szCs w:val="24"/>
          <w:rtl/>
        </w:rPr>
        <w:t>עדה</w:t>
      </w:r>
      <w:r w:rsidRPr="000C1943">
        <w:rPr>
          <w:rFonts w:hint="cs"/>
          <w:sz w:val="24"/>
          <w:szCs w:val="24"/>
          <w:rtl/>
        </w:rPr>
        <w:t xml:space="preserve"> הרעה הזאת". המילה "עדה" בפסוק זה מתייחסת לקבוצה מוגדרת בבירור: עשרת המרגלים שהוציאו דיבת הארץ.</w:t>
      </w:r>
    </w:p>
    <w:p w14:paraId="53EA5FBC" w14:textId="77777777" w:rsidR="000C1943" w:rsidRPr="000C1943" w:rsidRDefault="000C1943" w:rsidP="002C40E1">
      <w:pPr>
        <w:spacing w:after="0" w:line="240" w:lineRule="auto"/>
        <w:jc w:val="both"/>
        <w:rPr>
          <w:sz w:val="24"/>
          <w:szCs w:val="24"/>
          <w:rtl/>
        </w:rPr>
      </w:pPr>
    </w:p>
    <w:p w14:paraId="2805FC52" w14:textId="77777777" w:rsidR="00A65FB0" w:rsidRDefault="00A65FB0" w:rsidP="002C40E1">
      <w:pPr>
        <w:spacing w:after="0" w:line="240" w:lineRule="auto"/>
        <w:jc w:val="both"/>
        <w:rPr>
          <w:sz w:val="24"/>
          <w:szCs w:val="24"/>
          <w:rtl/>
        </w:rPr>
      </w:pPr>
      <w:r w:rsidRPr="000C1943">
        <w:rPr>
          <w:rFonts w:hint="cs"/>
          <w:sz w:val="24"/>
          <w:szCs w:val="24"/>
          <w:rtl/>
        </w:rPr>
        <w:t>קידוש השם מתרחש בתוך העדה, ועדה היא קבוצה של עשרה.</w:t>
      </w:r>
    </w:p>
    <w:p w14:paraId="5F12B235" w14:textId="77777777" w:rsidR="000C1943" w:rsidRPr="000C1943" w:rsidRDefault="000C1943" w:rsidP="002C40E1">
      <w:pPr>
        <w:spacing w:after="0" w:line="240" w:lineRule="auto"/>
        <w:jc w:val="both"/>
        <w:rPr>
          <w:sz w:val="24"/>
          <w:szCs w:val="24"/>
          <w:rtl/>
        </w:rPr>
      </w:pPr>
    </w:p>
    <w:p w14:paraId="08AD96AE" w14:textId="77777777" w:rsidR="00A65FB0" w:rsidRDefault="00A65FB0" w:rsidP="002C40E1">
      <w:pPr>
        <w:spacing w:after="0" w:line="240" w:lineRule="auto"/>
        <w:jc w:val="both"/>
        <w:rPr>
          <w:sz w:val="24"/>
          <w:szCs w:val="24"/>
          <w:rtl/>
        </w:rPr>
      </w:pPr>
      <w:r w:rsidRPr="000C1943">
        <w:rPr>
          <w:rFonts w:hint="cs"/>
          <w:sz w:val="24"/>
          <w:szCs w:val="24"/>
          <w:rtl/>
        </w:rPr>
        <w:t>התלמוד ירושלמי משתמש בקבוצה של פסוקים מקבילים כדי ליצור גזירה שווה.</w:t>
      </w:r>
    </w:p>
    <w:p w14:paraId="4D447870" w14:textId="77777777" w:rsidR="000C1943" w:rsidRPr="000C1943" w:rsidRDefault="000C1943" w:rsidP="002C40E1">
      <w:pPr>
        <w:spacing w:after="0" w:line="240" w:lineRule="auto"/>
        <w:jc w:val="both"/>
        <w:rPr>
          <w:sz w:val="24"/>
          <w:szCs w:val="24"/>
          <w:rtl/>
        </w:rPr>
      </w:pPr>
    </w:p>
    <w:p w14:paraId="067A503B" w14:textId="77777777" w:rsidR="00A65FB0" w:rsidRPr="000C1943" w:rsidRDefault="00A65FB0" w:rsidP="002C40E1">
      <w:pPr>
        <w:spacing w:after="0" w:line="240" w:lineRule="auto"/>
        <w:jc w:val="both"/>
        <w:rPr>
          <w:sz w:val="24"/>
          <w:szCs w:val="24"/>
        </w:rPr>
      </w:pPr>
      <w:r w:rsidRPr="000C1943">
        <w:rPr>
          <w:rFonts w:hint="cs"/>
          <w:sz w:val="24"/>
          <w:szCs w:val="24"/>
          <w:rtl/>
        </w:rPr>
        <w:t>תלמוד ירושלמי מגילה ד, ד </w:t>
      </w:r>
    </w:p>
    <w:p w14:paraId="1D6491B2" w14:textId="77777777" w:rsidR="00A65FB0" w:rsidRDefault="00A65FB0" w:rsidP="002C40E1">
      <w:pPr>
        <w:spacing w:after="0" w:line="240" w:lineRule="auto"/>
        <w:ind w:left="720"/>
        <w:jc w:val="both"/>
        <w:rPr>
          <w:sz w:val="24"/>
          <w:szCs w:val="24"/>
          <w:rtl/>
        </w:rPr>
      </w:pPr>
      <w:r w:rsidRPr="000C1943">
        <w:rPr>
          <w:rFonts w:hint="cs"/>
          <w:sz w:val="24"/>
          <w:szCs w:val="24"/>
          <w:rtl/>
        </w:rPr>
        <w:t>ר’ בא ור’ יסא בשם ר’ יוחנן נאמר כאן עדה ונאמר להלן [במדבר יד כז] עד מתי לעדה הרעה הזאת מה עדה האמורה להלן עשרה אף כאן עשרה א”ר [=אמר רבי] סימון נאמר כאן תוך ונאמר להלן [בראשית מב ה] ויבאו בני ישראל לשבור בתוך הבאים מה תוך שנא[מר] להלן עשרה אף כאן עשרה…</w:t>
      </w:r>
    </w:p>
    <w:p w14:paraId="5F500FBF" w14:textId="77777777" w:rsidR="000C1943" w:rsidRPr="000C1943" w:rsidRDefault="000C1943" w:rsidP="002C40E1">
      <w:pPr>
        <w:spacing w:after="0" w:line="240" w:lineRule="auto"/>
        <w:ind w:left="720"/>
        <w:jc w:val="both"/>
        <w:rPr>
          <w:sz w:val="24"/>
          <w:szCs w:val="24"/>
          <w:rtl/>
        </w:rPr>
      </w:pPr>
    </w:p>
    <w:p w14:paraId="36361E39" w14:textId="77777777" w:rsidR="00A65FB0" w:rsidRDefault="00A65FB0" w:rsidP="002C40E1">
      <w:pPr>
        <w:spacing w:after="0" w:line="240" w:lineRule="auto"/>
        <w:jc w:val="both"/>
        <w:rPr>
          <w:sz w:val="24"/>
          <w:szCs w:val="24"/>
          <w:rtl/>
        </w:rPr>
      </w:pPr>
      <w:r w:rsidRPr="000C1943">
        <w:rPr>
          <w:rFonts w:hint="cs"/>
          <w:sz w:val="24"/>
          <w:szCs w:val="24"/>
          <w:rtl/>
        </w:rPr>
        <w:t>למרבה הצער, התלמוד הירושלמי אינו מפרט את כל הפסוקים שבהם השתמש. הפסוק הראשון הוא כנראה זה שראינו לעיל בקשר לשכינה, "אלוקים ניצב ב</w:t>
      </w:r>
      <w:r w:rsidRPr="000C1943">
        <w:rPr>
          <w:rFonts w:hint="cs"/>
          <w:b/>
          <w:bCs/>
          <w:sz w:val="24"/>
          <w:szCs w:val="24"/>
          <w:rtl/>
        </w:rPr>
        <w:t>עדת</w:t>
      </w:r>
      <w:r w:rsidRPr="000C1943">
        <w:rPr>
          <w:rFonts w:hint="cs"/>
          <w:sz w:val="24"/>
          <w:szCs w:val="24"/>
          <w:rtl/>
        </w:rPr>
        <w:t xml:space="preserve"> אל", המתקשר ל"</w:t>
      </w:r>
      <w:r w:rsidRPr="000C1943">
        <w:rPr>
          <w:rFonts w:hint="cs"/>
          <w:b/>
          <w:bCs/>
          <w:sz w:val="24"/>
          <w:szCs w:val="24"/>
          <w:rtl/>
        </w:rPr>
        <w:t>עדת</w:t>
      </w:r>
      <w:r w:rsidRPr="000C1943">
        <w:rPr>
          <w:rFonts w:hint="cs"/>
          <w:sz w:val="24"/>
          <w:szCs w:val="24"/>
          <w:rtl/>
        </w:rPr>
        <w:t>" המרגלים.</w:t>
      </w:r>
    </w:p>
    <w:p w14:paraId="43EB74A8" w14:textId="77777777" w:rsidR="000C1943" w:rsidRPr="000C1943" w:rsidRDefault="000C1943" w:rsidP="002C40E1">
      <w:pPr>
        <w:spacing w:after="0" w:line="240" w:lineRule="auto"/>
        <w:jc w:val="both"/>
        <w:rPr>
          <w:sz w:val="24"/>
          <w:szCs w:val="24"/>
          <w:rtl/>
        </w:rPr>
      </w:pPr>
    </w:p>
    <w:p w14:paraId="55325243" w14:textId="77777777" w:rsidR="00A65FB0" w:rsidRDefault="00A65FB0" w:rsidP="002C40E1">
      <w:pPr>
        <w:spacing w:after="0" w:line="240" w:lineRule="auto"/>
        <w:jc w:val="both"/>
        <w:rPr>
          <w:sz w:val="24"/>
          <w:szCs w:val="24"/>
          <w:rtl/>
        </w:rPr>
      </w:pPr>
      <w:r w:rsidRPr="000C1943">
        <w:rPr>
          <w:rFonts w:hint="cs"/>
          <w:sz w:val="24"/>
          <w:szCs w:val="24"/>
          <w:rtl/>
        </w:rPr>
        <w:t>רב סימון מציע כי במקום ללמוד את המילה "</w:t>
      </w:r>
      <w:r w:rsidRPr="000C1943">
        <w:rPr>
          <w:rFonts w:hint="cs"/>
          <w:b/>
          <w:bCs/>
          <w:sz w:val="24"/>
          <w:szCs w:val="24"/>
          <w:rtl/>
        </w:rPr>
        <w:t>תוך</w:t>
      </w:r>
      <w:r w:rsidRPr="000C1943">
        <w:rPr>
          <w:rFonts w:hint="cs"/>
          <w:sz w:val="24"/>
          <w:szCs w:val="24"/>
          <w:rtl/>
        </w:rPr>
        <w:t>" מעדת המרגלים, ניתן ללמוד אותה מעשרת בני ישראל הראשונים, בני יעקב (חוץ מיוסף ובנימין). נראה שעדיפותו של רב סימון נובעת מכך שבני יעקב מהווים קבוצה לדוגמה חיובית יותר מאשר המרגלים.</w:t>
      </w:r>
      <w:r w:rsidRPr="000C1943">
        <w:rPr>
          <w:rStyle w:val="FootnoteReference"/>
          <w:sz w:val="24"/>
          <w:szCs w:val="24"/>
          <w:rtl/>
        </w:rPr>
        <w:footnoteReference w:id="10"/>
      </w:r>
    </w:p>
    <w:p w14:paraId="4F25988C" w14:textId="77777777" w:rsidR="000C1943" w:rsidRPr="000C1943" w:rsidRDefault="000C1943" w:rsidP="002C40E1">
      <w:pPr>
        <w:spacing w:after="0" w:line="240" w:lineRule="auto"/>
        <w:jc w:val="both"/>
        <w:rPr>
          <w:sz w:val="24"/>
          <w:szCs w:val="24"/>
          <w:rtl/>
        </w:rPr>
      </w:pPr>
    </w:p>
    <w:p w14:paraId="068AC137" w14:textId="77777777" w:rsidR="00A65FB0" w:rsidRDefault="00A65FB0" w:rsidP="002C40E1">
      <w:pPr>
        <w:spacing w:after="0" w:line="240" w:lineRule="auto"/>
        <w:jc w:val="both"/>
        <w:rPr>
          <w:sz w:val="24"/>
          <w:szCs w:val="24"/>
          <w:rtl/>
        </w:rPr>
      </w:pPr>
      <w:r w:rsidRPr="000C1943">
        <w:rPr>
          <w:rFonts w:hint="cs"/>
          <w:sz w:val="24"/>
          <w:szCs w:val="24"/>
          <w:rtl/>
        </w:rPr>
        <w:t>בין שנלמד את החיוב לעשרה גברים מבני יעקב ובין שנלמד אותו מהמרגלים, אנו מסיקים שקבוצה של עשרה יכולה לייצג את כל "בני ישראל", כלומר שישים ריבוא שיצאו ממצרים, או את מיליונ</w:t>
      </w:r>
      <w:r w:rsidRPr="000C1943">
        <w:rPr>
          <w:rFonts w:hint="eastAsia"/>
          <w:sz w:val="24"/>
          <w:szCs w:val="24"/>
          <w:rtl/>
        </w:rPr>
        <w:t>י</w:t>
      </w:r>
      <w:r w:rsidRPr="000C1943">
        <w:rPr>
          <w:rFonts w:hint="cs"/>
          <w:sz w:val="24"/>
          <w:szCs w:val="24"/>
          <w:rtl/>
        </w:rPr>
        <w:t xml:space="preserve"> היהודים החיים כיום.</w:t>
      </w:r>
      <w:r w:rsidRPr="000C1943">
        <w:rPr>
          <w:rStyle w:val="FootnoteReference"/>
          <w:sz w:val="24"/>
          <w:szCs w:val="24"/>
          <w:rtl/>
        </w:rPr>
        <w:footnoteReference w:id="11"/>
      </w:r>
    </w:p>
    <w:p w14:paraId="4C5DA167" w14:textId="77777777" w:rsidR="000C1943" w:rsidRPr="000C1943" w:rsidRDefault="000C1943" w:rsidP="002C40E1">
      <w:pPr>
        <w:spacing w:after="0" w:line="240" w:lineRule="auto"/>
        <w:jc w:val="both"/>
        <w:rPr>
          <w:sz w:val="24"/>
          <w:szCs w:val="24"/>
          <w:rtl/>
        </w:rPr>
      </w:pPr>
    </w:p>
    <w:p w14:paraId="14230B89" w14:textId="77777777" w:rsidR="00A65FB0" w:rsidRDefault="00A65FB0" w:rsidP="002C40E1">
      <w:pPr>
        <w:pStyle w:val="Heading1"/>
        <w:spacing w:before="0" w:line="240" w:lineRule="auto"/>
        <w:jc w:val="both"/>
        <w:rPr>
          <w:sz w:val="24"/>
          <w:szCs w:val="24"/>
          <w:rtl/>
        </w:rPr>
      </w:pPr>
      <w:r w:rsidRPr="000C1943">
        <w:rPr>
          <w:rFonts w:hint="cs"/>
          <w:sz w:val="24"/>
          <w:szCs w:val="24"/>
          <w:rtl/>
        </w:rPr>
        <w:t>מי נספר</w:t>
      </w:r>
    </w:p>
    <w:p w14:paraId="5B88242A" w14:textId="77777777" w:rsidR="000C1943" w:rsidRPr="000C1943" w:rsidRDefault="000C1943" w:rsidP="002C40E1">
      <w:pPr>
        <w:spacing w:after="0" w:line="240" w:lineRule="auto"/>
        <w:rPr>
          <w:rtl/>
        </w:rPr>
      </w:pPr>
    </w:p>
    <w:p w14:paraId="1F7E5539" w14:textId="77777777" w:rsidR="00A65FB0" w:rsidRDefault="00A65FB0" w:rsidP="002C40E1">
      <w:pPr>
        <w:spacing w:after="0" w:line="240" w:lineRule="auto"/>
        <w:jc w:val="both"/>
        <w:rPr>
          <w:sz w:val="24"/>
          <w:szCs w:val="24"/>
          <w:rtl/>
        </w:rPr>
      </w:pPr>
      <w:r w:rsidRPr="000C1943">
        <w:rPr>
          <w:rFonts w:hint="cs"/>
          <w:sz w:val="24"/>
          <w:szCs w:val="24"/>
          <w:rtl/>
        </w:rPr>
        <w:t>בשני התלמודים לא כתוב בבירור מי נספר למניין לעניין תפילות או טקסים אלה. ההסכמה ההלכתית היא שמניין בעבור העניינים שהוזכרו במשנה מורכב מעשרה גברים חופשיים.</w:t>
      </w:r>
      <w:r w:rsidRPr="000C1943">
        <w:rPr>
          <w:rStyle w:val="FootnoteReference"/>
          <w:sz w:val="24"/>
          <w:szCs w:val="24"/>
          <w:rtl/>
        </w:rPr>
        <w:footnoteReference w:id="12"/>
      </w:r>
    </w:p>
    <w:p w14:paraId="07626A15" w14:textId="77777777" w:rsidR="000C1943" w:rsidRPr="000C1943" w:rsidRDefault="000C1943" w:rsidP="002C40E1">
      <w:pPr>
        <w:spacing w:after="0" w:line="240" w:lineRule="auto"/>
        <w:jc w:val="both"/>
        <w:rPr>
          <w:sz w:val="24"/>
          <w:szCs w:val="24"/>
          <w:rtl/>
        </w:rPr>
      </w:pPr>
    </w:p>
    <w:p w14:paraId="4C982600" w14:textId="77777777" w:rsidR="00A65FB0" w:rsidRPr="000C1943" w:rsidRDefault="00A65FB0" w:rsidP="002C40E1">
      <w:pPr>
        <w:spacing w:after="0" w:line="240" w:lineRule="auto"/>
        <w:jc w:val="both"/>
        <w:rPr>
          <w:sz w:val="24"/>
          <w:szCs w:val="24"/>
        </w:rPr>
      </w:pPr>
      <w:r w:rsidRPr="000C1943">
        <w:rPr>
          <w:rFonts w:hint="cs"/>
          <w:sz w:val="24"/>
          <w:szCs w:val="24"/>
          <w:rtl/>
        </w:rPr>
        <w:t>שולחן ערוך או”ח נה, א </w:t>
      </w:r>
    </w:p>
    <w:p w14:paraId="03F6B3FB" w14:textId="77777777" w:rsidR="00A65FB0" w:rsidRDefault="00A65FB0" w:rsidP="002C40E1">
      <w:pPr>
        <w:spacing w:after="0" w:line="240" w:lineRule="auto"/>
        <w:ind w:left="720"/>
        <w:jc w:val="both"/>
        <w:rPr>
          <w:sz w:val="24"/>
          <w:szCs w:val="24"/>
          <w:rtl/>
        </w:rPr>
      </w:pPr>
      <w:r w:rsidRPr="000C1943">
        <w:rPr>
          <w:rFonts w:hint="cs"/>
          <w:sz w:val="24"/>
          <w:szCs w:val="24"/>
          <w:rtl/>
        </w:rPr>
        <w:t>אומרים קדיש. וא”א [ואין אומרים] אותו בפחות מי’ זכרים בני חורין גדולים שהביאו ב’ שערות, וה”ה [והוא הדין] לקדושה וברכו שאין נאמרין בפחות מעשרה.</w:t>
      </w:r>
    </w:p>
    <w:p w14:paraId="78AA021B" w14:textId="77777777" w:rsidR="000C1943" w:rsidRPr="000C1943" w:rsidRDefault="000C1943" w:rsidP="002C40E1">
      <w:pPr>
        <w:spacing w:after="0" w:line="240" w:lineRule="auto"/>
        <w:ind w:left="720"/>
        <w:jc w:val="both"/>
        <w:rPr>
          <w:sz w:val="24"/>
          <w:szCs w:val="24"/>
          <w:rtl/>
        </w:rPr>
      </w:pPr>
    </w:p>
    <w:p w14:paraId="2A635FD4" w14:textId="77777777" w:rsidR="00A65FB0" w:rsidRDefault="00A65FB0" w:rsidP="002C40E1">
      <w:pPr>
        <w:spacing w:after="0" w:line="240" w:lineRule="auto"/>
        <w:jc w:val="both"/>
        <w:rPr>
          <w:sz w:val="24"/>
          <w:szCs w:val="24"/>
          <w:rtl/>
        </w:rPr>
      </w:pPr>
      <w:r w:rsidRPr="000C1943">
        <w:rPr>
          <w:rFonts w:hint="cs"/>
          <w:sz w:val="24"/>
          <w:szCs w:val="24"/>
          <w:rtl/>
        </w:rPr>
        <w:t>כיצד הגענו להסכמה זו? התשובה אינה ברורה. להלן מספר אפשרויות עיקריות:</w:t>
      </w:r>
      <w:r w:rsidRPr="000C1943">
        <w:rPr>
          <w:rStyle w:val="FootnoteReference"/>
          <w:sz w:val="24"/>
          <w:szCs w:val="24"/>
          <w:rtl/>
        </w:rPr>
        <w:footnoteReference w:id="13"/>
      </w:r>
    </w:p>
    <w:p w14:paraId="52C276B0" w14:textId="77777777" w:rsidR="000C1943" w:rsidRPr="000C1943" w:rsidRDefault="000C1943" w:rsidP="002C40E1">
      <w:pPr>
        <w:spacing w:after="0" w:line="240" w:lineRule="auto"/>
        <w:jc w:val="both"/>
        <w:rPr>
          <w:sz w:val="24"/>
          <w:szCs w:val="24"/>
          <w:rtl/>
        </w:rPr>
      </w:pPr>
    </w:p>
    <w:p w14:paraId="416011F8" w14:textId="77777777" w:rsidR="00A65FB0" w:rsidRDefault="00A65FB0" w:rsidP="002C40E1">
      <w:pPr>
        <w:spacing w:after="0" w:line="240" w:lineRule="auto"/>
        <w:jc w:val="both"/>
        <w:rPr>
          <w:sz w:val="24"/>
          <w:szCs w:val="24"/>
          <w:rtl/>
        </w:rPr>
      </w:pPr>
      <w:r w:rsidRPr="000C1943">
        <w:rPr>
          <w:rFonts w:hint="cs"/>
          <w:b/>
          <w:bCs/>
          <w:sz w:val="24"/>
          <w:szCs w:val="24"/>
        </w:rPr>
        <w:t>I</w:t>
      </w:r>
      <w:r w:rsidRPr="000C1943">
        <w:rPr>
          <w:rFonts w:hint="cs"/>
          <w:b/>
          <w:bCs/>
          <w:sz w:val="24"/>
          <w:szCs w:val="24"/>
          <w:rtl/>
        </w:rPr>
        <w:t>. היסק –</w:t>
      </w:r>
      <w:r w:rsidRPr="000C1943">
        <w:rPr>
          <w:rFonts w:hint="cs"/>
          <w:sz w:val="24"/>
          <w:szCs w:val="24"/>
          <w:rtl/>
        </w:rPr>
        <w:t xml:space="preserve"> אופי המניין עשוי לשקף את אופי הקבוצה המוזכרת בפרשייה המובאת בתלמוד. כאשר הוא מסביר מי נספר למניין, שולחן ערוך הרב מתבסס על המרגלים שהוזכרו בתלמוד הבבלי.</w:t>
      </w:r>
    </w:p>
    <w:p w14:paraId="5F14D154" w14:textId="77777777" w:rsidR="000C1943" w:rsidRPr="000C1943" w:rsidRDefault="000C1943" w:rsidP="002C40E1">
      <w:pPr>
        <w:spacing w:after="0" w:line="240" w:lineRule="auto"/>
        <w:jc w:val="both"/>
        <w:rPr>
          <w:sz w:val="24"/>
          <w:szCs w:val="24"/>
          <w:rtl/>
        </w:rPr>
      </w:pPr>
    </w:p>
    <w:p w14:paraId="1D9E3BA6" w14:textId="77777777" w:rsidR="00A65FB0" w:rsidRPr="000C1943" w:rsidRDefault="00A65FB0" w:rsidP="002C40E1">
      <w:pPr>
        <w:spacing w:after="0" w:line="240" w:lineRule="auto"/>
        <w:jc w:val="both"/>
        <w:rPr>
          <w:sz w:val="24"/>
          <w:szCs w:val="24"/>
        </w:rPr>
      </w:pPr>
      <w:r w:rsidRPr="000C1943">
        <w:rPr>
          <w:rFonts w:hint="cs"/>
          <w:sz w:val="24"/>
          <w:szCs w:val="24"/>
          <w:rtl/>
        </w:rPr>
        <w:t>שולחן ערוך הרב או”ח נה, ב </w:t>
      </w:r>
    </w:p>
    <w:p w14:paraId="5A632000" w14:textId="77777777" w:rsidR="00A65FB0" w:rsidRDefault="00A65FB0" w:rsidP="002C40E1">
      <w:pPr>
        <w:spacing w:after="0" w:line="240" w:lineRule="auto"/>
        <w:ind w:left="720"/>
        <w:jc w:val="both"/>
        <w:rPr>
          <w:sz w:val="24"/>
          <w:szCs w:val="24"/>
          <w:rtl/>
        </w:rPr>
      </w:pPr>
      <w:r w:rsidRPr="000C1943">
        <w:rPr>
          <w:rFonts w:hint="cs"/>
          <w:sz w:val="24"/>
          <w:szCs w:val="24"/>
          <w:rtl/>
        </w:rPr>
        <w:t>… ואין עדה פחותה מעשרה שנאמר עד מתי לעדה הרעה הזאת צא מהם יהושע וכלב נשארו עשרה. ועדה זו צריך להיות כולה מזכרים בני חורין גדולים שהביאו ב’ שערות וכמו שהיתה עדה האמורה להלן אבל נשים ועבדים וקטנים אינן מצטרפין:</w:t>
      </w:r>
    </w:p>
    <w:p w14:paraId="6E4A0BC0" w14:textId="77777777" w:rsidR="000C1943" w:rsidRPr="000C1943" w:rsidRDefault="000C1943" w:rsidP="002C40E1">
      <w:pPr>
        <w:spacing w:after="0" w:line="240" w:lineRule="auto"/>
        <w:ind w:left="720"/>
        <w:jc w:val="both"/>
        <w:rPr>
          <w:sz w:val="24"/>
          <w:szCs w:val="24"/>
          <w:rtl/>
        </w:rPr>
      </w:pPr>
    </w:p>
    <w:p w14:paraId="27CF91E5" w14:textId="77777777" w:rsidR="00A65FB0" w:rsidRDefault="00A65FB0" w:rsidP="002C40E1">
      <w:pPr>
        <w:spacing w:after="0" w:line="240" w:lineRule="auto"/>
        <w:jc w:val="both"/>
        <w:rPr>
          <w:sz w:val="24"/>
          <w:szCs w:val="24"/>
          <w:rtl/>
        </w:rPr>
      </w:pPr>
      <w:r w:rsidRPr="000C1943">
        <w:rPr>
          <w:rFonts w:hint="cs"/>
          <w:sz w:val="24"/>
          <w:szCs w:val="24"/>
          <w:rtl/>
        </w:rPr>
        <w:t xml:space="preserve">בהסתמכו על התלמוד הירושלמי, כותב הראב"ן כי מי שנספר למניין חייב להיות גבר חופשי, כפי שהיו בני יעקב. </w:t>
      </w:r>
    </w:p>
    <w:p w14:paraId="220ECB49" w14:textId="77777777" w:rsidR="000C1943" w:rsidRPr="000C1943" w:rsidRDefault="000C1943" w:rsidP="002C40E1">
      <w:pPr>
        <w:spacing w:after="0" w:line="240" w:lineRule="auto"/>
        <w:jc w:val="both"/>
        <w:rPr>
          <w:sz w:val="24"/>
          <w:szCs w:val="24"/>
          <w:rtl/>
        </w:rPr>
      </w:pPr>
    </w:p>
    <w:p w14:paraId="611CB543" w14:textId="77777777" w:rsidR="00A65FB0" w:rsidRPr="000C1943" w:rsidRDefault="00A65FB0" w:rsidP="002C40E1">
      <w:pPr>
        <w:spacing w:after="0" w:line="240" w:lineRule="auto"/>
        <w:jc w:val="both"/>
        <w:rPr>
          <w:sz w:val="24"/>
          <w:szCs w:val="24"/>
        </w:rPr>
      </w:pPr>
      <w:r w:rsidRPr="000C1943">
        <w:rPr>
          <w:rFonts w:hint="cs"/>
          <w:sz w:val="24"/>
          <w:szCs w:val="24"/>
          <w:rtl/>
        </w:rPr>
        <w:t>ראב”ן ברכות סימן קפה </w:t>
      </w:r>
    </w:p>
    <w:p w14:paraId="2562B896" w14:textId="77777777" w:rsidR="00A65FB0" w:rsidRDefault="00A65FB0" w:rsidP="002C40E1">
      <w:pPr>
        <w:spacing w:after="0" w:line="240" w:lineRule="auto"/>
        <w:ind w:left="720"/>
        <w:jc w:val="both"/>
        <w:rPr>
          <w:sz w:val="24"/>
          <w:szCs w:val="24"/>
          <w:rtl/>
        </w:rPr>
      </w:pPr>
      <w:r w:rsidRPr="000C1943">
        <w:rPr>
          <w:rFonts w:hint="cs"/>
          <w:sz w:val="24"/>
          <w:szCs w:val="24"/>
          <w:rtl/>
        </w:rPr>
        <w:t>דאמרינן [כ”א ב] כל דבר שבקדושה אין אומרים אותו בפחות מעשרה וגמר לה מ”ונקדשתי בתוך בני ישראל” ויליף תוך תוך מן לשבור בתוך הבאים והתם י’ הוו דכתיב וירדו אחי יוסף עשרה וכולהו הוו גברי.</w:t>
      </w:r>
    </w:p>
    <w:p w14:paraId="01E4CF37" w14:textId="77777777" w:rsidR="000C1943" w:rsidRPr="000C1943" w:rsidRDefault="000C1943" w:rsidP="002C40E1">
      <w:pPr>
        <w:spacing w:after="0" w:line="240" w:lineRule="auto"/>
        <w:jc w:val="both"/>
        <w:rPr>
          <w:sz w:val="24"/>
          <w:szCs w:val="24"/>
          <w:rtl/>
        </w:rPr>
      </w:pPr>
    </w:p>
    <w:p w14:paraId="575025E3" w14:textId="77777777" w:rsidR="00A65FB0" w:rsidRDefault="00A65FB0" w:rsidP="002C40E1">
      <w:pPr>
        <w:spacing w:after="0" w:line="240" w:lineRule="auto"/>
        <w:jc w:val="both"/>
        <w:rPr>
          <w:rFonts w:cs="Arial"/>
          <w:sz w:val="24"/>
          <w:szCs w:val="24"/>
          <w:rtl/>
        </w:rPr>
      </w:pPr>
      <w:r w:rsidRPr="000C1943">
        <w:rPr>
          <w:rFonts w:hint="cs"/>
          <w:b/>
          <w:bCs/>
          <w:sz w:val="24"/>
          <w:szCs w:val="24"/>
        </w:rPr>
        <w:t>II</w:t>
      </w:r>
      <w:r w:rsidRPr="000C1943">
        <w:rPr>
          <w:rFonts w:hint="cs"/>
          <w:b/>
          <w:bCs/>
          <w:sz w:val="24"/>
          <w:szCs w:val="24"/>
          <w:rtl/>
        </w:rPr>
        <w:t>. קריאה מדרשית –</w:t>
      </w:r>
      <w:r w:rsidRPr="000C1943">
        <w:rPr>
          <w:rFonts w:hint="cs"/>
          <w:sz w:val="24"/>
          <w:szCs w:val="24"/>
          <w:rtl/>
        </w:rPr>
        <w:t xml:space="preserve"> דרך נוספת ללמוד מי נספר למניין היא על ידי שימוש בשיטות שונות לפרשנות מדרשית. למשל</w:t>
      </w:r>
      <w:r w:rsidRPr="000C1943">
        <w:rPr>
          <w:rFonts w:cs="Arial" w:hint="cs"/>
          <w:sz w:val="24"/>
          <w:szCs w:val="24"/>
          <w:rtl/>
        </w:rPr>
        <w:t>, ייתכן ש"בני ישראל" במקרה ספציפי זה אינו כולל את בנות ישראל, או נשים.</w:t>
      </w:r>
      <w:r w:rsidRPr="000C1943">
        <w:rPr>
          <w:rStyle w:val="FootnoteReference"/>
          <w:rFonts w:cs="Arial"/>
          <w:sz w:val="24"/>
          <w:szCs w:val="24"/>
          <w:rtl/>
        </w:rPr>
        <w:footnoteReference w:id="14"/>
      </w:r>
    </w:p>
    <w:p w14:paraId="65810AA1" w14:textId="77777777" w:rsidR="000C1943" w:rsidRPr="000C1943" w:rsidRDefault="000C1943" w:rsidP="002C40E1">
      <w:pPr>
        <w:spacing w:after="0" w:line="240" w:lineRule="auto"/>
        <w:jc w:val="both"/>
        <w:rPr>
          <w:sz w:val="24"/>
          <w:szCs w:val="24"/>
          <w:rtl/>
        </w:rPr>
      </w:pPr>
    </w:p>
    <w:p w14:paraId="38CA55AC" w14:textId="77777777" w:rsidR="00A65FB0" w:rsidRPr="000C1943" w:rsidRDefault="00A65FB0" w:rsidP="002C40E1">
      <w:pPr>
        <w:spacing w:after="0" w:line="240" w:lineRule="auto"/>
        <w:jc w:val="both"/>
        <w:rPr>
          <w:sz w:val="24"/>
          <w:szCs w:val="24"/>
          <w:rtl/>
        </w:rPr>
      </w:pPr>
      <w:r w:rsidRPr="000C1943">
        <w:rPr>
          <w:rFonts w:hint="cs"/>
          <w:sz w:val="24"/>
          <w:szCs w:val="24"/>
          <w:rtl/>
        </w:rPr>
        <w:t>עם זאת, זוהי סברה שנויה במחלוקת משום שאנו לומדים את מצוות קידוש השם מתוך מדרש על אותו פסוק בדיוק,</w:t>
      </w:r>
      <w:r w:rsidRPr="000C1943">
        <w:rPr>
          <w:rStyle w:val="FootnoteReference"/>
          <w:sz w:val="24"/>
          <w:szCs w:val="24"/>
          <w:rtl/>
        </w:rPr>
        <w:footnoteReference w:id="15"/>
      </w:r>
      <w:r w:rsidRPr="000C1943">
        <w:rPr>
          <w:rFonts w:hint="cs"/>
          <w:sz w:val="24"/>
          <w:szCs w:val="24"/>
          <w:rtl/>
        </w:rPr>
        <w:t xml:space="preserve"> וייתכן שנשים </w:t>
      </w:r>
      <w:r w:rsidRPr="000C1943">
        <w:rPr>
          <w:rFonts w:hint="cs"/>
          <w:b/>
          <w:bCs/>
          <w:sz w:val="24"/>
          <w:szCs w:val="24"/>
          <w:rtl/>
        </w:rPr>
        <w:t>אכן</w:t>
      </w:r>
      <w:r w:rsidRPr="000C1943">
        <w:rPr>
          <w:rFonts w:hint="cs"/>
          <w:sz w:val="24"/>
          <w:szCs w:val="24"/>
          <w:rtl/>
        </w:rPr>
        <w:t xml:space="preserve"> נספרות בעבור בעשרה הנחשבים כציבור לעניין קידוש השם.</w:t>
      </w:r>
      <w:r w:rsidRPr="000C1943">
        <w:rPr>
          <w:rStyle w:val="FootnoteReference"/>
          <w:sz w:val="24"/>
          <w:szCs w:val="24"/>
          <w:rtl/>
        </w:rPr>
        <w:footnoteReference w:id="16"/>
      </w:r>
      <w:r w:rsidRPr="000C1943">
        <w:rPr>
          <w:rFonts w:hint="cs"/>
          <w:sz w:val="24"/>
          <w:szCs w:val="24"/>
          <w:rtl/>
        </w:rPr>
        <w:t xml:space="preserve"> ייתכן שמי שמחשיב את הנשים למניין בעבור קידוש השם עשוי להחמיר ולא למנות אישה לעניין דברים שבקדושה </w:t>
      </w:r>
      <w:bookmarkStart w:id="1" w:name="_Hlk87353634"/>
      <w:r w:rsidRPr="000C1943">
        <w:rPr>
          <w:rFonts w:hint="cs"/>
          <w:sz w:val="24"/>
          <w:szCs w:val="24"/>
          <w:rtl/>
        </w:rPr>
        <w:t xml:space="preserve">משום </w:t>
      </w:r>
      <w:bookmarkEnd w:id="1"/>
      <w:r w:rsidRPr="000C1943">
        <w:rPr>
          <w:rFonts w:hint="cs"/>
          <w:sz w:val="24"/>
          <w:szCs w:val="24"/>
          <w:rtl/>
        </w:rPr>
        <w:t>שבעבור מניין יש צורך בקבוצה אחידה של עשרה, בעוד שלעניין קידוש השם מספיקים עשרה יחידים. חילוק זה עשוי להסביר את ההבדל בפירוש לפסוק זה בין שני ההקשרים הללו.</w:t>
      </w:r>
      <w:r w:rsidRPr="000C1943">
        <w:rPr>
          <w:rStyle w:val="FootnoteReference"/>
          <w:sz w:val="24"/>
          <w:szCs w:val="24"/>
          <w:rtl/>
        </w:rPr>
        <w:footnoteReference w:id="17"/>
      </w:r>
    </w:p>
    <w:p w14:paraId="45458A04" w14:textId="77777777" w:rsidR="00A65FB0" w:rsidRDefault="00A65FB0" w:rsidP="002C40E1">
      <w:pPr>
        <w:spacing w:after="0" w:line="240" w:lineRule="auto"/>
        <w:jc w:val="both"/>
        <w:rPr>
          <w:sz w:val="24"/>
          <w:szCs w:val="24"/>
          <w:rtl/>
        </w:rPr>
      </w:pPr>
      <w:r w:rsidRPr="000C1943">
        <w:rPr>
          <w:rFonts w:hint="cs"/>
          <w:b/>
          <w:bCs/>
          <w:sz w:val="24"/>
          <w:szCs w:val="24"/>
        </w:rPr>
        <w:t>III</w:t>
      </w:r>
      <w:r w:rsidRPr="000C1943">
        <w:rPr>
          <w:rFonts w:hint="cs"/>
          <w:b/>
          <w:bCs/>
          <w:sz w:val="24"/>
          <w:szCs w:val="24"/>
          <w:rtl/>
        </w:rPr>
        <w:t>. גמרא שלישית –</w:t>
      </w:r>
      <w:r w:rsidRPr="000C1943">
        <w:rPr>
          <w:rFonts w:hint="cs"/>
          <w:sz w:val="24"/>
          <w:szCs w:val="24"/>
          <w:rtl/>
        </w:rPr>
        <w:t xml:space="preserve"> התוספות מביאים גמרא נוספת כמקור לכך שנשים לא נספרות למניין:</w:t>
      </w:r>
    </w:p>
    <w:p w14:paraId="404226C6" w14:textId="77777777" w:rsidR="0090101A" w:rsidRPr="000C1943" w:rsidRDefault="0090101A" w:rsidP="002C40E1">
      <w:pPr>
        <w:spacing w:after="0" w:line="240" w:lineRule="auto"/>
        <w:jc w:val="both"/>
        <w:rPr>
          <w:sz w:val="24"/>
          <w:szCs w:val="24"/>
          <w:rtl/>
        </w:rPr>
      </w:pPr>
    </w:p>
    <w:p w14:paraId="17CC8FD3" w14:textId="77777777" w:rsidR="00A65FB0" w:rsidRPr="0090101A" w:rsidRDefault="00A65FB0" w:rsidP="002C40E1">
      <w:pPr>
        <w:spacing w:after="0" w:line="240" w:lineRule="auto"/>
        <w:jc w:val="both"/>
        <w:rPr>
          <w:sz w:val="24"/>
          <w:szCs w:val="24"/>
        </w:rPr>
      </w:pPr>
      <w:r w:rsidRPr="0090101A">
        <w:rPr>
          <w:rFonts w:hint="cs"/>
          <w:sz w:val="24"/>
          <w:szCs w:val="24"/>
          <w:rtl/>
        </w:rPr>
        <w:t>ברכות מה ע"ב </w:t>
      </w:r>
    </w:p>
    <w:p w14:paraId="1DB6595C" w14:textId="77777777" w:rsidR="00A65FB0" w:rsidRDefault="00A65FB0" w:rsidP="002C40E1">
      <w:pPr>
        <w:spacing w:after="0" w:line="240" w:lineRule="auto"/>
        <w:ind w:left="720"/>
        <w:jc w:val="both"/>
        <w:rPr>
          <w:sz w:val="24"/>
          <w:szCs w:val="24"/>
          <w:rtl/>
        </w:rPr>
      </w:pPr>
      <w:r w:rsidRPr="0090101A">
        <w:rPr>
          <w:rFonts w:hint="cs"/>
          <w:sz w:val="24"/>
          <w:szCs w:val="24"/>
          <w:rtl/>
        </w:rPr>
        <w:t>והא מאה נשי כתרי גברי דמיין, וקתני נשים מזמנות לעצמן…</w:t>
      </w:r>
    </w:p>
    <w:p w14:paraId="6F24698B" w14:textId="77777777" w:rsidR="0090101A" w:rsidRPr="0090101A" w:rsidRDefault="0090101A" w:rsidP="002C40E1">
      <w:pPr>
        <w:spacing w:after="0" w:line="240" w:lineRule="auto"/>
        <w:jc w:val="both"/>
        <w:rPr>
          <w:sz w:val="24"/>
          <w:szCs w:val="24"/>
          <w:rtl/>
        </w:rPr>
      </w:pPr>
    </w:p>
    <w:p w14:paraId="778EF1BD" w14:textId="77777777" w:rsidR="00A65FB0" w:rsidRPr="0090101A" w:rsidRDefault="00A65FB0" w:rsidP="002C40E1">
      <w:pPr>
        <w:spacing w:after="0" w:line="240" w:lineRule="auto"/>
        <w:jc w:val="both"/>
        <w:rPr>
          <w:sz w:val="24"/>
          <w:szCs w:val="24"/>
        </w:rPr>
      </w:pPr>
      <w:r w:rsidRPr="0090101A">
        <w:rPr>
          <w:rFonts w:hint="cs"/>
          <w:sz w:val="24"/>
          <w:szCs w:val="24"/>
          <w:rtl/>
        </w:rPr>
        <w:t>תרגום</w:t>
      </w:r>
    </w:p>
    <w:p w14:paraId="41DCDF43" w14:textId="77777777" w:rsidR="00A65FB0" w:rsidRDefault="00A65FB0" w:rsidP="002C40E1">
      <w:pPr>
        <w:spacing w:after="0" w:line="240" w:lineRule="auto"/>
        <w:ind w:left="720"/>
        <w:jc w:val="both"/>
        <w:rPr>
          <w:sz w:val="24"/>
          <w:szCs w:val="24"/>
          <w:rtl/>
        </w:rPr>
      </w:pPr>
      <w:r w:rsidRPr="0090101A">
        <w:rPr>
          <w:rFonts w:hint="cs"/>
          <w:sz w:val="24"/>
          <w:szCs w:val="24"/>
          <w:rtl/>
        </w:rPr>
        <w:t>והרי מאה נשים דומות לשני גברים, ושנינו במשנה "נשים מזמנות לעצמן."</w:t>
      </w:r>
    </w:p>
    <w:p w14:paraId="4861EAE2" w14:textId="77777777" w:rsidR="0090101A" w:rsidRPr="0090101A" w:rsidRDefault="0090101A" w:rsidP="002C40E1">
      <w:pPr>
        <w:spacing w:after="0" w:line="240" w:lineRule="auto"/>
        <w:ind w:left="720"/>
        <w:jc w:val="both"/>
        <w:rPr>
          <w:sz w:val="24"/>
          <w:szCs w:val="24"/>
          <w:rtl/>
        </w:rPr>
      </w:pPr>
    </w:p>
    <w:p w14:paraId="516DF411" w14:textId="77777777" w:rsidR="00A65FB0" w:rsidRPr="0090101A" w:rsidRDefault="00A65FB0" w:rsidP="002C40E1">
      <w:pPr>
        <w:spacing w:after="0" w:line="240" w:lineRule="auto"/>
        <w:jc w:val="both"/>
        <w:rPr>
          <w:sz w:val="24"/>
          <w:szCs w:val="24"/>
        </w:rPr>
      </w:pPr>
      <w:r w:rsidRPr="0090101A">
        <w:rPr>
          <w:rFonts w:hint="cs"/>
          <w:sz w:val="24"/>
          <w:szCs w:val="24"/>
          <w:rtl/>
        </w:rPr>
        <w:t>תוספות ברכות מה ע"ב, ד”ה והא </w:t>
      </w:r>
    </w:p>
    <w:p w14:paraId="02390B25" w14:textId="77777777" w:rsidR="00A65FB0" w:rsidRDefault="00A65FB0" w:rsidP="002C40E1">
      <w:pPr>
        <w:spacing w:after="0" w:line="240" w:lineRule="auto"/>
        <w:ind w:left="720"/>
        <w:jc w:val="both"/>
        <w:rPr>
          <w:sz w:val="24"/>
          <w:szCs w:val="24"/>
          <w:rtl/>
        </w:rPr>
      </w:pPr>
      <w:r w:rsidRPr="0090101A">
        <w:rPr>
          <w:rFonts w:hint="cs"/>
          <w:sz w:val="24"/>
          <w:szCs w:val="24"/>
          <w:rtl/>
        </w:rPr>
        <w:t>והא מאה נשי כתרי גברי דמיין – לענין קבוץ תפלה ולענין כל דבר שבעשרה ואפילו הכי חשבינן להו כשלשה… ורש”י פירש כתרי לענין חובה דאין חייבות לזמן ואם רצו מזמנות…</w:t>
      </w:r>
    </w:p>
    <w:p w14:paraId="1F100310" w14:textId="77777777" w:rsidR="0090101A" w:rsidRPr="0090101A" w:rsidRDefault="0090101A" w:rsidP="002C40E1">
      <w:pPr>
        <w:spacing w:after="0" w:line="240" w:lineRule="auto"/>
        <w:ind w:left="720"/>
        <w:jc w:val="both"/>
        <w:rPr>
          <w:sz w:val="24"/>
          <w:szCs w:val="24"/>
          <w:rtl/>
        </w:rPr>
      </w:pPr>
    </w:p>
    <w:p w14:paraId="616D2B2F" w14:textId="77777777" w:rsidR="00A65FB0" w:rsidRDefault="00A65FB0" w:rsidP="002C40E1">
      <w:pPr>
        <w:spacing w:after="0" w:line="240" w:lineRule="auto"/>
        <w:jc w:val="both"/>
        <w:rPr>
          <w:sz w:val="24"/>
          <w:szCs w:val="24"/>
          <w:rtl/>
        </w:rPr>
      </w:pPr>
      <w:r w:rsidRPr="000C1943">
        <w:rPr>
          <w:rFonts w:hint="cs"/>
          <w:sz w:val="24"/>
          <w:szCs w:val="24"/>
          <w:rtl/>
        </w:rPr>
        <w:t>לפי התוספות, הגמרא מופתעת מכך שנשים יכולות לערוך זימון,</w:t>
      </w:r>
      <w:r w:rsidRPr="000C1943">
        <w:rPr>
          <w:rStyle w:val="FootnoteReference"/>
          <w:sz w:val="24"/>
          <w:szCs w:val="24"/>
          <w:rtl/>
        </w:rPr>
        <w:footnoteReference w:id="18"/>
      </w:r>
      <w:r w:rsidRPr="000C1943">
        <w:rPr>
          <w:rFonts w:hint="cs"/>
          <w:sz w:val="24"/>
          <w:szCs w:val="24"/>
          <w:rtl/>
        </w:rPr>
        <w:t xml:space="preserve"> משום שההנחה היא שנשים אינן נספרות לתפילה במניין או לעניינים אחרים הדורשים מניין. המילה "דבר" בהקשר זה עשויה להיות קיצור למונח "דבר שבקדושה", ובמקרה זה ייתכן שנשים כן נחשבות כקבוצה בעלת חלוּת הלכתית בהקשרים אחרים. לדברי התוספות, גמרא זו מניחה שנשים אינן נספרות למניין, אך אינה מסבירה מדוע. </w:t>
      </w:r>
    </w:p>
    <w:p w14:paraId="2035D701" w14:textId="77777777" w:rsidR="0090101A" w:rsidRPr="000C1943" w:rsidRDefault="0090101A" w:rsidP="002C40E1">
      <w:pPr>
        <w:spacing w:after="0" w:line="240" w:lineRule="auto"/>
        <w:jc w:val="both"/>
        <w:rPr>
          <w:sz w:val="24"/>
          <w:szCs w:val="24"/>
          <w:rtl/>
        </w:rPr>
      </w:pPr>
    </w:p>
    <w:p w14:paraId="341E9261" w14:textId="77777777" w:rsidR="00A65FB0" w:rsidRDefault="00A65FB0" w:rsidP="002C40E1">
      <w:pPr>
        <w:spacing w:after="0" w:line="240" w:lineRule="auto"/>
        <w:jc w:val="both"/>
        <w:rPr>
          <w:sz w:val="24"/>
          <w:szCs w:val="24"/>
          <w:rtl/>
        </w:rPr>
      </w:pPr>
      <w:r w:rsidRPr="000C1943">
        <w:rPr>
          <w:rFonts w:hint="cs"/>
          <w:sz w:val="24"/>
          <w:szCs w:val="24"/>
          <w:rtl/>
        </w:rPr>
        <w:t>רש"י (המובא בדברי התוספות), לעומת זאת, מפרש את דברי הגמרא באופן שונה ולא מייחס אותם ישירות לתפילה או להקשרים אחרים.</w:t>
      </w:r>
      <w:r w:rsidRPr="000C1943">
        <w:rPr>
          <w:rStyle w:val="FootnoteReference"/>
          <w:sz w:val="24"/>
          <w:szCs w:val="24"/>
          <w:rtl/>
        </w:rPr>
        <w:footnoteReference w:id="19"/>
      </w:r>
    </w:p>
    <w:p w14:paraId="4E13BF7A" w14:textId="77777777" w:rsidR="0090101A" w:rsidRPr="000C1943" w:rsidRDefault="0090101A" w:rsidP="002C40E1">
      <w:pPr>
        <w:spacing w:after="0" w:line="240" w:lineRule="auto"/>
        <w:jc w:val="both"/>
        <w:rPr>
          <w:sz w:val="24"/>
          <w:szCs w:val="24"/>
          <w:rtl/>
        </w:rPr>
      </w:pPr>
    </w:p>
    <w:p w14:paraId="13E257BA" w14:textId="77777777" w:rsidR="00A65FB0" w:rsidRDefault="00A65FB0" w:rsidP="002C40E1">
      <w:pPr>
        <w:spacing w:after="0" w:line="240" w:lineRule="auto"/>
        <w:jc w:val="both"/>
        <w:rPr>
          <w:sz w:val="24"/>
          <w:szCs w:val="24"/>
          <w:rtl/>
        </w:rPr>
      </w:pPr>
      <w:r w:rsidRPr="000C1943">
        <w:rPr>
          <w:rFonts w:hint="cs"/>
          <w:b/>
          <w:bCs/>
          <w:sz w:val="24"/>
          <w:szCs w:val="24"/>
        </w:rPr>
        <w:t>IV</w:t>
      </w:r>
      <w:r w:rsidRPr="000C1943">
        <w:rPr>
          <w:rFonts w:hint="cs"/>
          <w:b/>
          <w:bCs/>
          <w:sz w:val="24"/>
          <w:szCs w:val="24"/>
          <w:rtl/>
        </w:rPr>
        <w:t>. חיוב –</w:t>
      </w:r>
      <w:r w:rsidRPr="000C1943">
        <w:rPr>
          <w:rFonts w:hint="cs"/>
          <w:sz w:val="24"/>
          <w:szCs w:val="24"/>
          <w:rtl/>
        </w:rPr>
        <w:t xml:space="preserve"> המאירי מציע שמי שנספר למניין הוא פשוט מי שמחויב באותה המצווה. </w:t>
      </w:r>
    </w:p>
    <w:p w14:paraId="6F49D1FF" w14:textId="77777777" w:rsidR="0090101A" w:rsidRPr="000C1943" w:rsidRDefault="0090101A" w:rsidP="002C40E1">
      <w:pPr>
        <w:spacing w:after="0" w:line="240" w:lineRule="auto"/>
        <w:jc w:val="both"/>
        <w:rPr>
          <w:sz w:val="24"/>
          <w:szCs w:val="24"/>
          <w:rtl/>
        </w:rPr>
      </w:pPr>
    </w:p>
    <w:p w14:paraId="6D4C2ECB" w14:textId="77777777" w:rsidR="00A65FB0" w:rsidRPr="0090101A" w:rsidRDefault="00A65FB0" w:rsidP="002C40E1">
      <w:pPr>
        <w:spacing w:after="0" w:line="240" w:lineRule="auto"/>
        <w:jc w:val="both"/>
        <w:rPr>
          <w:sz w:val="24"/>
          <w:szCs w:val="24"/>
        </w:rPr>
      </w:pPr>
      <w:r w:rsidRPr="0090101A">
        <w:rPr>
          <w:rFonts w:hint="cs"/>
          <w:sz w:val="24"/>
          <w:szCs w:val="24"/>
          <w:rtl/>
        </w:rPr>
        <w:t>בית הבחירה למאירי מגילה ה ע"א </w:t>
      </w:r>
    </w:p>
    <w:p w14:paraId="1EAC12BE" w14:textId="77777777" w:rsidR="00A65FB0" w:rsidRDefault="00A65FB0" w:rsidP="002C40E1">
      <w:pPr>
        <w:spacing w:after="0" w:line="240" w:lineRule="auto"/>
        <w:ind w:left="720"/>
        <w:jc w:val="both"/>
        <w:rPr>
          <w:sz w:val="24"/>
          <w:szCs w:val="24"/>
          <w:rtl/>
        </w:rPr>
      </w:pPr>
      <w:r w:rsidRPr="0090101A">
        <w:rPr>
          <w:rFonts w:hint="cs"/>
          <w:sz w:val="24"/>
          <w:szCs w:val="24"/>
          <w:rtl/>
        </w:rPr>
        <w:t>כל שהיא צריכה לעשרה י”א [יש אומרים] הואיל וחיוב הנשים שוה בה לאנשים מצטרפות הן לעשרה</w:t>
      </w:r>
    </w:p>
    <w:p w14:paraId="33A03A43" w14:textId="77777777" w:rsidR="0090101A" w:rsidRPr="0090101A" w:rsidRDefault="0090101A" w:rsidP="002C40E1">
      <w:pPr>
        <w:spacing w:after="0" w:line="240" w:lineRule="auto"/>
        <w:ind w:left="720"/>
        <w:jc w:val="both"/>
        <w:rPr>
          <w:sz w:val="24"/>
          <w:szCs w:val="24"/>
          <w:rtl/>
        </w:rPr>
      </w:pPr>
    </w:p>
    <w:p w14:paraId="4A57B334" w14:textId="77777777" w:rsidR="00A65FB0" w:rsidRDefault="00A65FB0" w:rsidP="002C40E1">
      <w:pPr>
        <w:spacing w:after="0" w:line="240" w:lineRule="auto"/>
        <w:jc w:val="both"/>
        <w:rPr>
          <w:sz w:val="24"/>
          <w:szCs w:val="24"/>
          <w:rtl/>
        </w:rPr>
      </w:pPr>
      <w:r w:rsidRPr="000C1943">
        <w:rPr>
          <w:rFonts w:hint="cs"/>
          <w:sz w:val="24"/>
          <w:szCs w:val="24"/>
          <w:rtl/>
        </w:rPr>
        <w:t xml:space="preserve">יוצא מכך שאישה יכולה להיספר למניין, אלא אם כן חובתה שונה מזו של גברים. למשל, נשים פטורות ממצוות קריאת שמע וברכותיה, ולכן לא יכולות ליצור מניין כדי לפרוס את שמע, הכולל אמירות אלה. </w:t>
      </w:r>
    </w:p>
    <w:p w14:paraId="63AF3C10" w14:textId="77777777" w:rsidR="0090101A" w:rsidRPr="000C1943" w:rsidRDefault="0090101A" w:rsidP="002C40E1">
      <w:pPr>
        <w:spacing w:after="0" w:line="240" w:lineRule="auto"/>
        <w:jc w:val="both"/>
        <w:rPr>
          <w:sz w:val="24"/>
          <w:szCs w:val="24"/>
          <w:rtl/>
        </w:rPr>
      </w:pPr>
    </w:p>
    <w:p w14:paraId="2182A3DD" w14:textId="15981D70" w:rsidR="00A65FB0" w:rsidRDefault="00A65FB0" w:rsidP="002C40E1">
      <w:pPr>
        <w:spacing w:after="0" w:line="240" w:lineRule="auto"/>
        <w:jc w:val="both"/>
        <w:rPr>
          <w:sz w:val="24"/>
          <w:szCs w:val="24"/>
          <w:rtl/>
        </w:rPr>
      </w:pPr>
      <w:r w:rsidRPr="000C1943">
        <w:rPr>
          <w:rFonts w:hint="cs"/>
          <w:sz w:val="24"/>
          <w:szCs w:val="24"/>
          <w:rtl/>
        </w:rPr>
        <w:t xml:space="preserve">מאחר שהמאירי רואה את החיוב כתנאי להיספר למניין, האם אין זה אומר שנשים יכולות להיספר למניין בעבור תפילה בציבור, משום שנשים חייבות בתפילה? לא בהכרח. ייתכן שהמאירי מבין שיש חובה הלכתית נפרדת להתפלל בציבור, שממנה נשים פטורות, ולכן נשים אינן יכולות להיספר למניין. (אנו דנות בחובת תפילה </w:t>
      </w:r>
      <w:hyperlink r:id="rId11" w:history="1">
        <w:r w:rsidRPr="000C1943">
          <w:rPr>
            <w:rStyle w:val="Hyperlink"/>
            <w:rFonts w:hint="cs"/>
            <w:sz w:val="24"/>
            <w:szCs w:val="24"/>
            <w:rtl/>
          </w:rPr>
          <w:t>כאן</w:t>
        </w:r>
      </w:hyperlink>
      <w:r w:rsidRPr="000C1943">
        <w:rPr>
          <w:rFonts w:hint="cs"/>
          <w:sz w:val="24"/>
          <w:szCs w:val="24"/>
          <w:rtl/>
        </w:rPr>
        <w:t>.)</w:t>
      </w:r>
    </w:p>
    <w:p w14:paraId="1EB1ABE4" w14:textId="77777777" w:rsidR="0090101A" w:rsidRPr="000C1943" w:rsidRDefault="0090101A" w:rsidP="002C40E1">
      <w:pPr>
        <w:spacing w:after="0" w:line="240" w:lineRule="auto"/>
        <w:jc w:val="both"/>
        <w:rPr>
          <w:sz w:val="24"/>
          <w:szCs w:val="24"/>
          <w:rtl/>
        </w:rPr>
      </w:pPr>
    </w:p>
    <w:p w14:paraId="2BD52430" w14:textId="77777777" w:rsidR="00A65FB0" w:rsidRDefault="00A65FB0" w:rsidP="002C40E1">
      <w:pPr>
        <w:spacing w:after="0" w:line="240" w:lineRule="auto"/>
        <w:jc w:val="both"/>
        <w:rPr>
          <w:sz w:val="24"/>
          <w:szCs w:val="24"/>
          <w:rtl/>
        </w:rPr>
      </w:pPr>
      <w:r w:rsidRPr="000C1943">
        <w:rPr>
          <w:rFonts w:hint="cs"/>
          <w:b/>
          <w:bCs/>
          <w:sz w:val="24"/>
          <w:szCs w:val="24"/>
        </w:rPr>
        <w:t>V</w:t>
      </w:r>
      <w:r w:rsidRPr="000C1943">
        <w:rPr>
          <w:rFonts w:hint="cs"/>
          <w:b/>
          <w:bCs/>
          <w:sz w:val="24"/>
          <w:szCs w:val="24"/>
          <w:rtl/>
        </w:rPr>
        <w:t>. ייצוג –</w:t>
      </w:r>
      <w:r w:rsidRPr="000C1943">
        <w:rPr>
          <w:rFonts w:hint="cs"/>
          <w:sz w:val="24"/>
          <w:szCs w:val="24"/>
          <w:rtl/>
        </w:rPr>
        <w:t xml:space="preserve"> ייתכן שמניין הוא מעין גוף המייצג את העם היהודי, כאשר השלם גדול מסך חלקיו. כפי שציינו לעיל, הניסוח "בתוך בני ישראל", המתייחס רק לקבוצה של עשרה גברים, עשוי לתמוך ברעיון זה. בתורה נראה שנציגי הציבור הם בדרך כלל גברים. בהתאם לכך, כאשר פקדו את בני ישראל במדבר נספרו הגברים היכולים לצאת למלחמה, והם אורגנו לפי משפחה, בית אב, המוגדר על פי האב:</w:t>
      </w:r>
    </w:p>
    <w:p w14:paraId="493631FE" w14:textId="77777777" w:rsidR="0090101A" w:rsidRPr="000C1943" w:rsidRDefault="0090101A" w:rsidP="002C40E1">
      <w:pPr>
        <w:spacing w:after="0" w:line="240" w:lineRule="auto"/>
        <w:jc w:val="both"/>
        <w:rPr>
          <w:sz w:val="24"/>
          <w:szCs w:val="24"/>
          <w:rtl/>
        </w:rPr>
      </w:pPr>
    </w:p>
    <w:p w14:paraId="2ADA032E" w14:textId="77777777" w:rsidR="00A65FB0" w:rsidRPr="0090101A" w:rsidRDefault="00A65FB0" w:rsidP="002C40E1">
      <w:pPr>
        <w:spacing w:after="0" w:line="240" w:lineRule="auto"/>
        <w:jc w:val="both"/>
        <w:rPr>
          <w:sz w:val="24"/>
          <w:szCs w:val="24"/>
        </w:rPr>
      </w:pPr>
      <w:r w:rsidRPr="0090101A">
        <w:rPr>
          <w:rFonts w:hint="cs"/>
          <w:sz w:val="24"/>
          <w:szCs w:val="24"/>
          <w:rtl/>
        </w:rPr>
        <w:t>במדבר א', ב–ג </w:t>
      </w:r>
    </w:p>
    <w:p w14:paraId="08B8C8F7" w14:textId="77777777" w:rsidR="00A65FB0" w:rsidRDefault="00A65FB0" w:rsidP="002C40E1">
      <w:pPr>
        <w:spacing w:after="0" w:line="240" w:lineRule="auto"/>
        <w:ind w:left="720"/>
        <w:jc w:val="both"/>
        <w:rPr>
          <w:sz w:val="24"/>
          <w:szCs w:val="24"/>
          <w:rtl/>
        </w:rPr>
      </w:pPr>
      <w:r w:rsidRPr="0090101A">
        <w:rPr>
          <w:rFonts w:hint="cs"/>
          <w:sz w:val="24"/>
          <w:szCs w:val="24"/>
          <w:rtl/>
        </w:rPr>
        <w:t>שְׂאוּ אֶת רֹאשׁ כָּל עֲדַת בְּנֵי יִשְׂרָאֵל לְמִשְׁפְּחֹתָם לְבֵית אֲבֹתָם בְּמִסְפַּר שֵׁמוֹת כָּל זָכָר לְגֻלְגְּלֹתָם. מִבֶּן עֶשְׂרִים שָׁנָה וָמַעְלָה כָּל יֹצֵא צָבָא בְּיִשְׂרָאֵל תִּפְקְדוּ אֹתָם לְצִבְאֹתָם אַתָּה וְאַהֲרֹן.</w:t>
      </w:r>
    </w:p>
    <w:p w14:paraId="64B7AB14" w14:textId="77777777" w:rsidR="0090101A" w:rsidRPr="0090101A" w:rsidRDefault="0090101A" w:rsidP="002C40E1">
      <w:pPr>
        <w:spacing w:after="0" w:line="240" w:lineRule="auto"/>
        <w:ind w:left="720"/>
        <w:jc w:val="both"/>
        <w:rPr>
          <w:sz w:val="24"/>
          <w:szCs w:val="24"/>
          <w:rtl/>
        </w:rPr>
      </w:pPr>
    </w:p>
    <w:p w14:paraId="3402699F" w14:textId="77777777" w:rsidR="00A65FB0" w:rsidRDefault="00A65FB0" w:rsidP="002C40E1">
      <w:pPr>
        <w:spacing w:after="0" w:line="240" w:lineRule="auto"/>
        <w:jc w:val="both"/>
        <w:rPr>
          <w:sz w:val="24"/>
          <w:szCs w:val="24"/>
          <w:rtl/>
        </w:rPr>
      </w:pPr>
      <w:r w:rsidRPr="000C1943">
        <w:rPr>
          <w:rFonts w:hint="cs"/>
          <w:sz w:val="24"/>
          <w:szCs w:val="24"/>
          <w:rtl/>
        </w:rPr>
        <w:t>הלבוש מדבר על ייצוג מזווית המבט של חובה:</w:t>
      </w:r>
    </w:p>
    <w:p w14:paraId="0E5CFFE3" w14:textId="77777777" w:rsidR="0090101A" w:rsidRPr="000C1943" w:rsidRDefault="0090101A" w:rsidP="002C40E1">
      <w:pPr>
        <w:spacing w:after="0" w:line="240" w:lineRule="auto"/>
        <w:jc w:val="both"/>
        <w:rPr>
          <w:sz w:val="24"/>
          <w:szCs w:val="24"/>
          <w:rtl/>
        </w:rPr>
      </w:pPr>
    </w:p>
    <w:p w14:paraId="5B9AD3F3" w14:textId="77777777" w:rsidR="00A65FB0" w:rsidRPr="0090101A" w:rsidRDefault="00A65FB0" w:rsidP="002C40E1">
      <w:pPr>
        <w:spacing w:after="0" w:line="240" w:lineRule="auto"/>
        <w:jc w:val="both"/>
        <w:rPr>
          <w:sz w:val="24"/>
          <w:szCs w:val="24"/>
        </w:rPr>
      </w:pPr>
      <w:r w:rsidRPr="0090101A">
        <w:rPr>
          <w:rFonts w:hint="cs"/>
          <w:sz w:val="24"/>
          <w:szCs w:val="24"/>
          <w:rtl/>
        </w:rPr>
        <w:lastRenderedPageBreak/>
        <w:t>לבוש אורח חיים נה, ד </w:t>
      </w:r>
    </w:p>
    <w:p w14:paraId="5DC1ED4A" w14:textId="77777777" w:rsidR="00A65FB0" w:rsidRDefault="00A65FB0" w:rsidP="002C40E1">
      <w:pPr>
        <w:spacing w:after="0" w:line="240" w:lineRule="auto"/>
        <w:ind w:left="720"/>
        <w:jc w:val="both"/>
        <w:rPr>
          <w:sz w:val="24"/>
          <w:szCs w:val="24"/>
          <w:rtl/>
        </w:rPr>
      </w:pPr>
      <w:r w:rsidRPr="0090101A">
        <w:rPr>
          <w:rFonts w:hint="cs"/>
          <w:sz w:val="24"/>
          <w:szCs w:val="24"/>
          <w:rtl/>
        </w:rPr>
        <w:t>ואלו העשרה צריכין להיות עשרה זכרים גדולים … דכתיב [ויקרא כב, לב] ונקדשתי בתוך בני ישראל וגו’, שפירושו כל דבר שבקדושה יקדשו אותי בתוך בני ישראל, ואין נקרא בתוך בני ישראל אלא בעשרה, דאתיא גזירה שוה תוך תוך … ואח”כ אתיא גזירה שוה דעדה עדה…. וסתם בני ישראל דכל התורה בגדולים זכרים קמיירי [מתכוון], ועבד ואשה וקטן אין מצטרפין שאינם חייבים במצות. ויש מתירין בתשעה וצירוף קטן כיון שיכול להגיע לכלל חיוב מצות …. וכל גדולי הפוסקים חולקין על זה ואוסרין, ולא ראיתי נוהגין להקל אפילו בשעת הדחק:</w:t>
      </w:r>
    </w:p>
    <w:p w14:paraId="11E756F6" w14:textId="77777777" w:rsidR="0090101A" w:rsidRPr="0090101A" w:rsidRDefault="0090101A" w:rsidP="002C40E1">
      <w:pPr>
        <w:spacing w:after="0" w:line="240" w:lineRule="auto"/>
        <w:ind w:left="720"/>
        <w:jc w:val="both"/>
        <w:rPr>
          <w:sz w:val="24"/>
          <w:szCs w:val="24"/>
          <w:rtl/>
        </w:rPr>
      </w:pPr>
    </w:p>
    <w:p w14:paraId="73B90BD1" w14:textId="77777777" w:rsidR="00A65FB0" w:rsidRDefault="00A65FB0" w:rsidP="002C40E1">
      <w:pPr>
        <w:spacing w:after="0" w:line="240" w:lineRule="auto"/>
        <w:jc w:val="both"/>
        <w:rPr>
          <w:sz w:val="24"/>
          <w:szCs w:val="24"/>
          <w:rtl/>
        </w:rPr>
      </w:pPr>
      <w:r w:rsidRPr="000C1943">
        <w:rPr>
          <w:rFonts w:hint="cs"/>
          <w:sz w:val="24"/>
          <w:szCs w:val="24"/>
          <w:rtl/>
        </w:rPr>
        <w:t xml:space="preserve">הלבוש דורש מהפסוק "ונקדשתי בתוך בני ישראל" כי המניין הוא מעין גוף מייצג, באמצעותו קבוצה המורכבת מעשרה גברים תוכל לייצג את כל העם היהודי. </w:t>
      </w:r>
    </w:p>
    <w:p w14:paraId="5D134A98" w14:textId="77777777" w:rsidR="0090101A" w:rsidRPr="000C1943" w:rsidRDefault="0090101A" w:rsidP="002C40E1">
      <w:pPr>
        <w:spacing w:after="0" w:line="240" w:lineRule="auto"/>
        <w:jc w:val="both"/>
        <w:rPr>
          <w:sz w:val="24"/>
          <w:szCs w:val="24"/>
          <w:rtl/>
        </w:rPr>
      </w:pPr>
    </w:p>
    <w:p w14:paraId="1D074C43" w14:textId="77777777" w:rsidR="00A65FB0" w:rsidRDefault="00A65FB0" w:rsidP="002C40E1">
      <w:pPr>
        <w:spacing w:after="0" w:line="240" w:lineRule="auto"/>
        <w:jc w:val="both"/>
        <w:rPr>
          <w:sz w:val="24"/>
          <w:szCs w:val="24"/>
          <w:rtl/>
        </w:rPr>
      </w:pPr>
      <w:r w:rsidRPr="000C1943">
        <w:rPr>
          <w:rFonts w:hint="cs"/>
          <w:sz w:val="24"/>
          <w:szCs w:val="24"/>
          <w:rtl/>
        </w:rPr>
        <w:t>מדוע המניין כולל רק גברים חופשיים?</w:t>
      </w:r>
      <w:r w:rsidRPr="000C1943">
        <w:rPr>
          <w:rFonts w:hint="cs"/>
          <w:sz w:val="24"/>
          <w:szCs w:val="24"/>
        </w:rPr>
        <w:t xml:space="preserve"> </w:t>
      </w:r>
      <w:r w:rsidRPr="000C1943">
        <w:rPr>
          <w:rFonts w:hint="cs"/>
          <w:sz w:val="24"/>
          <w:szCs w:val="24"/>
          <w:rtl/>
        </w:rPr>
        <w:t>הלבוש מציע שתי סיבות, שייתכן שהן קשורות זו לזו. ראשית, לפי פירושו, המילים "בני ישראל" מתייחסות רק לגברים אלא אם כן יש מסורת או סיבה ברורה לפרש אותן באופן שונה.</w:t>
      </w:r>
      <w:r w:rsidRPr="000C1943">
        <w:rPr>
          <w:rStyle w:val="FootnoteReference"/>
          <w:sz w:val="24"/>
          <w:szCs w:val="24"/>
          <w:rtl/>
        </w:rPr>
        <w:footnoteReference w:id="20"/>
      </w:r>
      <w:r w:rsidRPr="000C1943">
        <w:rPr>
          <w:rFonts w:hint="cs"/>
          <w:sz w:val="24"/>
          <w:szCs w:val="24"/>
          <w:rtl/>
        </w:rPr>
        <w:t xml:space="preserve"> שנית, הוא סובר כי מי שפטור מן המצוות, אפילו רק מחלק מהן (כגון אישה), לא יכול לייצג את המחויב בהן. </w:t>
      </w:r>
    </w:p>
    <w:p w14:paraId="494EA0E1" w14:textId="77777777" w:rsidR="0090101A" w:rsidRPr="000C1943" w:rsidRDefault="0090101A" w:rsidP="002C40E1">
      <w:pPr>
        <w:spacing w:after="0" w:line="240" w:lineRule="auto"/>
        <w:jc w:val="both"/>
        <w:rPr>
          <w:sz w:val="24"/>
          <w:szCs w:val="24"/>
          <w:rtl/>
        </w:rPr>
      </w:pPr>
    </w:p>
    <w:p w14:paraId="3C055937" w14:textId="77777777" w:rsidR="00A65FB0" w:rsidRDefault="00A65FB0" w:rsidP="002C40E1">
      <w:pPr>
        <w:spacing w:after="0" w:line="240" w:lineRule="auto"/>
        <w:jc w:val="both"/>
        <w:rPr>
          <w:sz w:val="24"/>
          <w:szCs w:val="24"/>
          <w:rtl/>
        </w:rPr>
      </w:pPr>
      <w:r w:rsidRPr="000C1943">
        <w:rPr>
          <w:rFonts w:hint="cs"/>
          <w:sz w:val="24"/>
          <w:szCs w:val="24"/>
          <w:rtl/>
        </w:rPr>
        <w:t xml:space="preserve">היעדר חיוב במצוות רלוונטי במיוחד במקרה של תפילה, מכיוון שחלקים מהתפילה, כמו קריאת שמע וברכותיה, נחשבים כמצוות שהזמן גרמן שמהן נשים פטורות. </w:t>
      </w:r>
    </w:p>
    <w:p w14:paraId="5F470E3F" w14:textId="77777777" w:rsidR="0090101A" w:rsidRPr="000C1943" w:rsidRDefault="0090101A" w:rsidP="002C40E1">
      <w:pPr>
        <w:spacing w:after="0" w:line="240" w:lineRule="auto"/>
        <w:jc w:val="both"/>
        <w:rPr>
          <w:sz w:val="24"/>
          <w:szCs w:val="24"/>
          <w:rtl/>
        </w:rPr>
      </w:pPr>
    </w:p>
    <w:p w14:paraId="343C79A2" w14:textId="77777777" w:rsidR="00A65FB0" w:rsidRDefault="00A65FB0" w:rsidP="002C40E1">
      <w:pPr>
        <w:spacing w:after="0" w:line="240" w:lineRule="auto"/>
        <w:jc w:val="both"/>
        <w:rPr>
          <w:sz w:val="24"/>
          <w:szCs w:val="24"/>
          <w:rtl/>
        </w:rPr>
      </w:pPr>
      <w:r w:rsidRPr="000C1943">
        <w:rPr>
          <w:rFonts w:hint="cs"/>
          <w:sz w:val="24"/>
          <w:szCs w:val="24"/>
          <w:rtl/>
        </w:rPr>
        <w:t>מסוף פסיקתו של הלבוש אנו למדים שארגון מניין עלול להיות מאתגר, וכי פוסקי הלכה ניסו להתגמש בנוגע לעשירי למניין. אך הוא דוחה את האפשרות לגמישות כזו ולא מתייחס כלל לאפשרות שהיא תוכל לחול על נשים. הוא דן בשאלה אם נער שטרם הגיע למצוות יוכל להיספר כעשירי למניין, אך זאת רק משום שהפטור שלו ממצוות הוא זמני. לבסוף הוא פוסק שנער לפני גיל בר מצווה אינו נספר למניין.</w:t>
      </w:r>
    </w:p>
    <w:p w14:paraId="7A31F0A6" w14:textId="77777777" w:rsidR="0090101A" w:rsidRPr="000C1943" w:rsidRDefault="0090101A" w:rsidP="002C40E1">
      <w:pPr>
        <w:spacing w:after="0" w:line="240" w:lineRule="auto"/>
        <w:jc w:val="both"/>
        <w:rPr>
          <w:sz w:val="24"/>
          <w:szCs w:val="24"/>
          <w:rtl/>
        </w:rPr>
      </w:pPr>
    </w:p>
    <w:p w14:paraId="0F130FD9" w14:textId="77777777" w:rsidR="00A65FB0" w:rsidRDefault="00A65FB0" w:rsidP="002C40E1">
      <w:pPr>
        <w:pStyle w:val="SubQuote"/>
        <w:spacing w:after="0" w:line="240" w:lineRule="auto"/>
        <w:jc w:val="both"/>
        <w:rPr>
          <w:rtl/>
        </w:rPr>
      </w:pPr>
      <w:r w:rsidRPr="000C1943">
        <w:rPr>
          <w:rFonts w:hint="cs"/>
          <w:rtl/>
        </w:rPr>
        <w:t>סיכום</w:t>
      </w:r>
    </w:p>
    <w:p w14:paraId="760F6267" w14:textId="77777777" w:rsidR="0090101A" w:rsidRPr="000C1943" w:rsidRDefault="0090101A" w:rsidP="002C40E1">
      <w:pPr>
        <w:pStyle w:val="SubQuote"/>
        <w:spacing w:after="0" w:line="240" w:lineRule="auto"/>
        <w:jc w:val="both"/>
        <w:rPr>
          <w:rtl/>
        </w:rPr>
      </w:pPr>
    </w:p>
    <w:p w14:paraId="6953C30F" w14:textId="77777777" w:rsidR="00A65FB0" w:rsidRDefault="00A65FB0" w:rsidP="002C40E1">
      <w:pPr>
        <w:spacing w:after="0" w:line="240" w:lineRule="auto"/>
        <w:jc w:val="both"/>
        <w:rPr>
          <w:sz w:val="24"/>
          <w:szCs w:val="24"/>
          <w:rtl/>
        </w:rPr>
      </w:pPr>
      <w:r w:rsidRPr="000C1943">
        <w:rPr>
          <w:rFonts w:hint="cs"/>
          <w:sz w:val="24"/>
          <w:szCs w:val="24"/>
          <w:rtl/>
        </w:rPr>
        <w:t xml:space="preserve">לפוסקי הלכה לאורך הדורות היה ברור שנשים אינן יכולות להיספר למניין, אך אין ביניהם הסכמה לגבי הסיבה לכך. ההסברים לשאלה מדוע נשים אינן נספרות למניין נוטים להתרכז בהגיון הלכתי טכני, ולא בקביעות </w:t>
      </w:r>
      <w:r w:rsidRPr="000C1943">
        <w:rPr>
          <w:sz w:val="24"/>
          <w:szCs w:val="24"/>
          <w:rtl/>
        </w:rPr>
        <w:t xml:space="preserve">תיאולוגיות או סוציולוגיות </w:t>
      </w:r>
      <w:r w:rsidRPr="000C1943">
        <w:rPr>
          <w:rFonts w:hint="cs"/>
          <w:sz w:val="24"/>
          <w:szCs w:val="24"/>
          <w:rtl/>
        </w:rPr>
        <w:t>ביחס</w:t>
      </w:r>
      <w:r w:rsidRPr="000C1943">
        <w:rPr>
          <w:sz w:val="24"/>
          <w:szCs w:val="24"/>
          <w:rtl/>
        </w:rPr>
        <w:t xml:space="preserve"> </w:t>
      </w:r>
      <w:r w:rsidRPr="000C1943">
        <w:rPr>
          <w:rFonts w:hint="cs"/>
          <w:sz w:val="24"/>
          <w:szCs w:val="24"/>
          <w:rtl/>
        </w:rPr>
        <w:t>ל</w:t>
      </w:r>
      <w:r w:rsidRPr="000C1943">
        <w:rPr>
          <w:sz w:val="24"/>
          <w:szCs w:val="24"/>
          <w:rtl/>
        </w:rPr>
        <w:t>נשים</w:t>
      </w:r>
      <w:r w:rsidRPr="000C1943">
        <w:rPr>
          <w:rFonts w:hint="cs"/>
          <w:sz w:val="24"/>
          <w:szCs w:val="24"/>
          <w:rtl/>
        </w:rPr>
        <w:t>.</w:t>
      </w:r>
    </w:p>
    <w:p w14:paraId="568C5F83" w14:textId="77777777" w:rsidR="0090101A" w:rsidRPr="000C1943" w:rsidRDefault="0090101A" w:rsidP="002C40E1">
      <w:pPr>
        <w:spacing w:after="0" w:line="240" w:lineRule="auto"/>
        <w:jc w:val="both"/>
        <w:rPr>
          <w:sz w:val="24"/>
          <w:szCs w:val="24"/>
          <w:rtl/>
        </w:rPr>
      </w:pPr>
    </w:p>
    <w:p w14:paraId="4D6EFE60" w14:textId="77777777" w:rsidR="00A65FB0" w:rsidRDefault="00A65FB0" w:rsidP="002C40E1">
      <w:pPr>
        <w:pStyle w:val="Heading1"/>
        <w:spacing w:before="0" w:line="240" w:lineRule="auto"/>
        <w:jc w:val="both"/>
        <w:rPr>
          <w:sz w:val="24"/>
          <w:szCs w:val="24"/>
          <w:rtl/>
        </w:rPr>
      </w:pPr>
      <w:r w:rsidRPr="000C1943">
        <w:rPr>
          <w:rFonts w:hint="cs"/>
          <w:sz w:val="24"/>
          <w:szCs w:val="24"/>
          <w:rtl/>
        </w:rPr>
        <w:t>העשירי</w:t>
      </w:r>
    </w:p>
    <w:p w14:paraId="426292A8" w14:textId="77777777" w:rsidR="0090101A" w:rsidRPr="0090101A" w:rsidRDefault="0090101A" w:rsidP="002C40E1">
      <w:pPr>
        <w:spacing w:after="0" w:line="240" w:lineRule="auto"/>
        <w:rPr>
          <w:rtl/>
        </w:rPr>
      </w:pPr>
    </w:p>
    <w:p w14:paraId="3621803E" w14:textId="77777777" w:rsidR="00A65FB0" w:rsidRDefault="00A65FB0" w:rsidP="002C40E1">
      <w:pPr>
        <w:spacing w:after="0" w:line="240" w:lineRule="auto"/>
        <w:jc w:val="both"/>
        <w:rPr>
          <w:sz w:val="24"/>
          <w:szCs w:val="24"/>
          <w:rtl/>
        </w:rPr>
      </w:pPr>
      <w:r w:rsidRPr="000C1943">
        <w:rPr>
          <w:rFonts w:hint="cs"/>
          <w:sz w:val="24"/>
          <w:szCs w:val="24"/>
          <w:rtl/>
        </w:rPr>
        <w:t>הרעיון של ספירת קטן, נער שטרם הגיע לגיל מצוות, כעשירי למניין מגיע מהגמרא. הגמרא מעלה את האפשרות שקהילה יכולה לכלול את מי שאינו בר מצווה או שאינו חופשי כעשירי למניין או לזימון בשם ה'.</w:t>
      </w:r>
    </w:p>
    <w:p w14:paraId="6DBE0774" w14:textId="77777777" w:rsidR="0090101A" w:rsidRPr="000C1943" w:rsidRDefault="0090101A" w:rsidP="002C40E1">
      <w:pPr>
        <w:spacing w:after="0" w:line="240" w:lineRule="auto"/>
        <w:jc w:val="both"/>
        <w:rPr>
          <w:sz w:val="24"/>
          <w:szCs w:val="24"/>
          <w:rtl/>
        </w:rPr>
      </w:pPr>
    </w:p>
    <w:p w14:paraId="3E419C6C" w14:textId="77777777" w:rsidR="00A65FB0" w:rsidRPr="0090101A" w:rsidRDefault="00A65FB0" w:rsidP="002C40E1">
      <w:pPr>
        <w:spacing w:after="0" w:line="240" w:lineRule="auto"/>
        <w:jc w:val="both"/>
        <w:rPr>
          <w:sz w:val="24"/>
          <w:szCs w:val="24"/>
        </w:rPr>
      </w:pPr>
      <w:r w:rsidRPr="0090101A">
        <w:rPr>
          <w:rFonts w:hint="cs"/>
          <w:sz w:val="24"/>
          <w:szCs w:val="24"/>
          <w:rtl/>
        </w:rPr>
        <w:t>ברכות מז ע"ב – מח ע"א </w:t>
      </w:r>
    </w:p>
    <w:p w14:paraId="761AA32A" w14:textId="77777777" w:rsidR="00A65FB0" w:rsidRDefault="00A65FB0" w:rsidP="002C40E1">
      <w:pPr>
        <w:spacing w:after="0" w:line="240" w:lineRule="auto"/>
        <w:ind w:left="720"/>
        <w:jc w:val="both"/>
        <w:rPr>
          <w:sz w:val="24"/>
          <w:szCs w:val="24"/>
          <w:rtl/>
        </w:rPr>
      </w:pPr>
      <w:r w:rsidRPr="0090101A">
        <w:rPr>
          <w:rFonts w:hint="cs"/>
          <w:sz w:val="24"/>
          <w:szCs w:val="24"/>
          <w:rtl/>
        </w:rPr>
        <w:t>דאמר רבי יהושע בן לוי: אף על פי שאמרו קטן המוטל בעריסה אין מזמנין עליו – אבל עושין אותו סניף לעשרה. ואמר רבי יהושע בן לוי: תשעה ועבד מצטרפין. מיתיבי: מעשה ברבי אליעזר שנכנס לבית הכנסת ולא מצא עשרה, ושחרר עבדו והשלימו לעשרה; שחרר, אין [כן], לא שחרר, לא! – תרי אצטריכו [שניים היה צריך], שחרר חד ונפיק בחד [שחרר אחת ויצא ידי חובה באחד]… ולית הלכתא ככל הני שמעתתא [ואין הלכה ככל האמירות הללו]…</w:t>
      </w:r>
    </w:p>
    <w:p w14:paraId="4797B09D" w14:textId="77777777" w:rsidR="0090101A" w:rsidRPr="0090101A" w:rsidRDefault="0090101A" w:rsidP="002C40E1">
      <w:pPr>
        <w:spacing w:after="0" w:line="240" w:lineRule="auto"/>
        <w:ind w:left="720"/>
        <w:jc w:val="both"/>
        <w:rPr>
          <w:sz w:val="24"/>
          <w:szCs w:val="24"/>
          <w:rtl/>
        </w:rPr>
      </w:pPr>
    </w:p>
    <w:p w14:paraId="76F26A7B" w14:textId="77777777" w:rsidR="00A65FB0" w:rsidRDefault="00A65FB0" w:rsidP="002C40E1">
      <w:pPr>
        <w:spacing w:after="0" w:line="240" w:lineRule="auto"/>
        <w:jc w:val="both"/>
        <w:rPr>
          <w:sz w:val="24"/>
          <w:szCs w:val="24"/>
          <w:rtl/>
        </w:rPr>
      </w:pPr>
      <w:r w:rsidRPr="000C1943">
        <w:rPr>
          <w:rFonts w:hint="cs"/>
          <w:sz w:val="24"/>
          <w:szCs w:val="24"/>
          <w:rtl/>
        </w:rPr>
        <w:lastRenderedPageBreak/>
        <w:t xml:space="preserve">נראה כי במצב שבו חסר רק העשירי, ומשום כך לא מתאפשר לקדש שם שמיים במניין, יש מקום לצרף אדם שבמצב רגיל לא היה יכול להיספר, כגון עבד, כדי להשלים את המניין. שני עבדים זה כבר יותר מדי מבחינה זו, ולכן רבי אליעזר היה צריך לשחרר אחד מהעבדים כדי שייספר למניין כאדם חופשי. </w:t>
      </w:r>
    </w:p>
    <w:p w14:paraId="7C52AD30" w14:textId="77777777" w:rsidR="0090101A" w:rsidRPr="000C1943" w:rsidRDefault="0090101A" w:rsidP="002C40E1">
      <w:pPr>
        <w:spacing w:after="0" w:line="240" w:lineRule="auto"/>
        <w:jc w:val="both"/>
        <w:rPr>
          <w:sz w:val="24"/>
          <w:szCs w:val="24"/>
          <w:rtl/>
        </w:rPr>
      </w:pPr>
    </w:p>
    <w:p w14:paraId="4CEBE3FF" w14:textId="77777777" w:rsidR="00A65FB0" w:rsidRDefault="00A65FB0" w:rsidP="002C40E1">
      <w:pPr>
        <w:spacing w:after="0" w:line="240" w:lineRule="auto"/>
        <w:jc w:val="both"/>
        <w:rPr>
          <w:sz w:val="24"/>
          <w:szCs w:val="24"/>
          <w:rtl/>
        </w:rPr>
      </w:pPr>
      <w:r w:rsidRPr="000C1943">
        <w:rPr>
          <w:rFonts w:hint="cs"/>
          <w:sz w:val="24"/>
          <w:szCs w:val="24"/>
          <w:rtl/>
        </w:rPr>
        <w:t xml:space="preserve">אין מדובר בוויתור מלא על הקריטריונים של מי שנספר למניין, ויש לכך מגבלות. ההסתייגות כי "ולית הלכתא ככל הני שמעתא", שההלכה למעשה איננה כדעות הנזכרות, מגבילה אף יותר. מדוע מגדר לא נחשב לגורם שניתן לוותר עליו במקרה של עשירי למניין? סביר להניח שזה מפני שגיל ועבדות הם מצבים משתנים והפיכים, בעוד שמגדר נתפס כקבוע. </w:t>
      </w:r>
    </w:p>
    <w:p w14:paraId="632F7635" w14:textId="77777777" w:rsidR="0090101A" w:rsidRPr="000C1943" w:rsidRDefault="0090101A" w:rsidP="002C40E1">
      <w:pPr>
        <w:spacing w:after="0" w:line="240" w:lineRule="auto"/>
        <w:jc w:val="both"/>
        <w:rPr>
          <w:sz w:val="24"/>
          <w:szCs w:val="24"/>
          <w:rtl/>
        </w:rPr>
      </w:pPr>
    </w:p>
    <w:p w14:paraId="10969C75" w14:textId="77777777" w:rsidR="00A65FB0" w:rsidRDefault="00A65FB0" w:rsidP="002C40E1">
      <w:pPr>
        <w:spacing w:after="0" w:line="240" w:lineRule="auto"/>
        <w:jc w:val="both"/>
        <w:rPr>
          <w:sz w:val="24"/>
          <w:szCs w:val="24"/>
          <w:rtl/>
        </w:rPr>
      </w:pPr>
      <w:r w:rsidRPr="000C1943">
        <w:rPr>
          <w:rFonts w:hint="cs"/>
          <w:sz w:val="24"/>
          <w:szCs w:val="24"/>
          <w:rtl/>
        </w:rPr>
        <w:t>בהתבססו על גמרא זו, רבינו תם מתייחס באופן תיאורטי לצירוף קטן כעשירי למניין:</w:t>
      </w:r>
      <w:r w:rsidRPr="000C1943">
        <w:rPr>
          <w:rStyle w:val="FootnoteReference"/>
          <w:sz w:val="24"/>
          <w:szCs w:val="24"/>
          <w:rtl/>
        </w:rPr>
        <w:footnoteReference w:id="21"/>
      </w:r>
    </w:p>
    <w:p w14:paraId="2B529CAB" w14:textId="77777777" w:rsidR="0090101A" w:rsidRPr="000C1943" w:rsidRDefault="0090101A" w:rsidP="002C40E1">
      <w:pPr>
        <w:spacing w:after="0" w:line="240" w:lineRule="auto"/>
        <w:jc w:val="both"/>
        <w:rPr>
          <w:sz w:val="24"/>
          <w:szCs w:val="24"/>
          <w:rtl/>
        </w:rPr>
      </w:pPr>
    </w:p>
    <w:p w14:paraId="7CFD00C7" w14:textId="77777777" w:rsidR="00A65FB0" w:rsidRPr="0090101A" w:rsidRDefault="00A65FB0" w:rsidP="002C40E1">
      <w:pPr>
        <w:spacing w:after="0" w:line="240" w:lineRule="auto"/>
        <w:jc w:val="both"/>
        <w:rPr>
          <w:sz w:val="24"/>
          <w:szCs w:val="24"/>
        </w:rPr>
      </w:pPr>
      <w:r w:rsidRPr="0090101A">
        <w:rPr>
          <w:rFonts w:hint="cs"/>
          <w:sz w:val="24"/>
          <w:szCs w:val="24"/>
          <w:rtl/>
        </w:rPr>
        <w:t>תוספות ר”י סירליאון, ברכות מז ע"ב ד”ה אשר </w:t>
      </w:r>
    </w:p>
    <w:p w14:paraId="1113CF0D" w14:textId="77777777" w:rsidR="00A65FB0" w:rsidRDefault="00A65FB0" w:rsidP="002C40E1">
      <w:pPr>
        <w:spacing w:after="0" w:line="240" w:lineRule="auto"/>
        <w:ind w:left="720"/>
        <w:jc w:val="both"/>
        <w:rPr>
          <w:sz w:val="24"/>
          <w:szCs w:val="24"/>
          <w:rtl/>
        </w:rPr>
      </w:pPr>
      <w:r w:rsidRPr="0090101A">
        <w:rPr>
          <w:rFonts w:hint="cs"/>
          <w:sz w:val="24"/>
          <w:szCs w:val="24"/>
          <w:rtl/>
        </w:rPr>
        <w:t>זאת תשובת רבנו תם…ורבי מוסיף לדבריהם דאפילו מוטל בעריסה, דאכל בי עשרה שריא שכינה, דכי גמירי ונקדשתי לא שנא גדולים ולא שנא קטנים ובלבד שיהי[ו] תשעה גדולים דטפי מחד לא כדאמרינן גבי עבד דליכא יקרא דשמיא כולי האי, ועבד נמי איתא בכלל ונקדשתי, דשכינה שריא אכל מחוייבי מצוות ובני ברית…נשלמה התשובה. וגם רבי [ר”י] השיבני אעפ”י שר”ת מ”כ [שרבינו תם מעלת כבודו] התיר לעשות קטן סניף לעשרה ולתפלה בלא חומש בידו, הוא לא היה נוהג כן, ולא עשה מעשה…וגם רבי לא רצה לעשות קטן וס”ת [ספר תורה] סניף לתפלה…</w:t>
      </w:r>
    </w:p>
    <w:p w14:paraId="31B39872" w14:textId="77777777" w:rsidR="0090101A" w:rsidRPr="0090101A" w:rsidRDefault="0090101A" w:rsidP="002C40E1">
      <w:pPr>
        <w:spacing w:after="0" w:line="240" w:lineRule="auto"/>
        <w:jc w:val="both"/>
        <w:rPr>
          <w:sz w:val="24"/>
          <w:szCs w:val="24"/>
          <w:rtl/>
        </w:rPr>
      </w:pPr>
    </w:p>
    <w:p w14:paraId="3FFAE9D5" w14:textId="77777777" w:rsidR="00A65FB0" w:rsidRDefault="00A65FB0" w:rsidP="002C40E1">
      <w:pPr>
        <w:spacing w:after="0" w:line="240" w:lineRule="auto"/>
        <w:jc w:val="both"/>
        <w:rPr>
          <w:sz w:val="24"/>
          <w:szCs w:val="24"/>
          <w:rtl/>
        </w:rPr>
      </w:pPr>
      <w:r w:rsidRPr="000C1943">
        <w:rPr>
          <w:rFonts w:hint="cs"/>
          <w:sz w:val="24"/>
          <w:szCs w:val="24"/>
          <w:rtl/>
        </w:rPr>
        <w:t xml:space="preserve">קשה להבין תשובה זו. רבנו תם מגביל את דברי הגמרא למקרים מסוימים ומשאיר מקום לגמישות. עם זאת, לא ברור מדוע או כיצד ספירה של יותר מעבד או קטן אחד יגרעו מ"יקרא דשמיא", כבוד שמיים, כאשר שניהם נכללים במצוות דבר שבקדושה והשכינה יכולה לשרות בהם. לא ברור גם מדוע לא רבנו תם ולא תלמידו הר"י היו מוכנים לפעול על פי פסק זה בהלכה למעשה. </w:t>
      </w:r>
    </w:p>
    <w:p w14:paraId="6CA7AEE7" w14:textId="77777777" w:rsidR="0090101A" w:rsidRPr="000C1943" w:rsidRDefault="0090101A" w:rsidP="002C40E1">
      <w:pPr>
        <w:spacing w:after="0" w:line="240" w:lineRule="auto"/>
        <w:jc w:val="both"/>
        <w:rPr>
          <w:sz w:val="24"/>
          <w:szCs w:val="24"/>
          <w:rtl/>
        </w:rPr>
      </w:pPr>
    </w:p>
    <w:p w14:paraId="17E96E7E" w14:textId="77777777" w:rsidR="00A65FB0" w:rsidRDefault="00A65FB0" w:rsidP="002C40E1">
      <w:pPr>
        <w:spacing w:after="0" w:line="240" w:lineRule="auto"/>
        <w:jc w:val="both"/>
        <w:rPr>
          <w:sz w:val="24"/>
          <w:szCs w:val="24"/>
          <w:rtl/>
        </w:rPr>
      </w:pPr>
      <w:r w:rsidRPr="000C1943">
        <w:rPr>
          <w:rFonts w:hint="cs"/>
          <w:sz w:val="24"/>
          <w:szCs w:val="24"/>
          <w:rtl/>
        </w:rPr>
        <w:t>למרבה הצער, רבנו תם אינו מתייחס למגדר בתשובתו, ומותיר אותנו לתהות ולנחש האם הגמישות המדוברת הייתה יכולה לחול גם על נשים. אם המונח "מחוייבי מצוות" יכול להתייחס לקטן שטרם הגיע לגיל מצוות, אשר מחויב מדין חינוך, או לעבד, הפטור ממצוות שהזמן גרמן, אז ניתן להחיל אותו גם על נשים. "בני ברית" הוא מושג מורכב יותר, מאחר שהוא עשוי להתייחס או לכל בני הברית, כלומר כלל העם היהודי לעומת עובדי אלילים, או רק למי שעבר ברית מילה. אם האחרון הוא הנכון, אזי היתר זה לא תחול על נשים, מה שיכול להסביר מדוע רבנו תם לא הזכיר נשים באופן מפורש.</w:t>
      </w:r>
    </w:p>
    <w:p w14:paraId="774359C9" w14:textId="77777777" w:rsidR="0090101A" w:rsidRPr="000C1943" w:rsidRDefault="0090101A" w:rsidP="002C40E1">
      <w:pPr>
        <w:spacing w:after="0" w:line="240" w:lineRule="auto"/>
        <w:jc w:val="both"/>
        <w:rPr>
          <w:sz w:val="24"/>
          <w:szCs w:val="24"/>
          <w:rtl/>
        </w:rPr>
      </w:pPr>
    </w:p>
    <w:p w14:paraId="714090A4" w14:textId="77777777" w:rsidR="00A65FB0" w:rsidRDefault="00A65FB0" w:rsidP="002C40E1">
      <w:pPr>
        <w:spacing w:after="0" w:line="240" w:lineRule="auto"/>
        <w:jc w:val="both"/>
        <w:rPr>
          <w:sz w:val="24"/>
          <w:szCs w:val="24"/>
          <w:rtl/>
        </w:rPr>
      </w:pPr>
      <w:r w:rsidRPr="000C1943">
        <w:rPr>
          <w:rFonts w:hint="cs"/>
          <w:sz w:val="24"/>
          <w:szCs w:val="24"/>
          <w:rtl/>
        </w:rPr>
        <w:t>נמצא בשם רבי שמחה משפייר כי הוא פסק שאישה אכן יכולה להיספר כעשירי למניין או לזימון:</w:t>
      </w:r>
    </w:p>
    <w:p w14:paraId="226E51C9" w14:textId="77777777" w:rsidR="0090101A" w:rsidRPr="000C1943" w:rsidRDefault="0090101A" w:rsidP="002C40E1">
      <w:pPr>
        <w:spacing w:after="0" w:line="240" w:lineRule="auto"/>
        <w:jc w:val="both"/>
        <w:rPr>
          <w:sz w:val="24"/>
          <w:szCs w:val="24"/>
          <w:rtl/>
        </w:rPr>
      </w:pPr>
    </w:p>
    <w:p w14:paraId="54F9DE9C" w14:textId="77777777" w:rsidR="00A65FB0" w:rsidRPr="0090101A" w:rsidRDefault="00A65FB0" w:rsidP="002C40E1">
      <w:pPr>
        <w:spacing w:after="0" w:line="240" w:lineRule="auto"/>
        <w:jc w:val="both"/>
        <w:rPr>
          <w:sz w:val="24"/>
          <w:szCs w:val="24"/>
        </w:rPr>
      </w:pPr>
      <w:r w:rsidRPr="0090101A">
        <w:rPr>
          <w:rFonts w:hint="cs"/>
          <w:sz w:val="24"/>
          <w:szCs w:val="24"/>
          <w:rtl/>
        </w:rPr>
        <w:t>מרדכי מסכת ברכות פרק שלושה שאכלו רמז קעג </w:t>
      </w:r>
    </w:p>
    <w:p w14:paraId="10DDEA68" w14:textId="77777777" w:rsidR="00A65FB0" w:rsidRDefault="00A65FB0" w:rsidP="002C40E1">
      <w:pPr>
        <w:spacing w:after="0" w:line="240" w:lineRule="auto"/>
        <w:ind w:left="720"/>
        <w:jc w:val="both"/>
        <w:rPr>
          <w:sz w:val="24"/>
          <w:szCs w:val="24"/>
          <w:rtl/>
        </w:rPr>
      </w:pPr>
      <w:r w:rsidRPr="0090101A">
        <w:rPr>
          <w:rFonts w:hint="cs"/>
          <w:sz w:val="24"/>
          <w:szCs w:val="24"/>
          <w:rtl/>
        </w:rPr>
        <w:t>מצאתי בשם רבינו שמחה עבד ואשה מצטרפין בין לתפלה בין לברוך אלקינו.</w:t>
      </w:r>
    </w:p>
    <w:p w14:paraId="4D8D8911" w14:textId="77777777" w:rsidR="0090101A" w:rsidRPr="0090101A" w:rsidRDefault="0090101A" w:rsidP="002C40E1">
      <w:pPr>
        <w:spacing w:after="0" w:line="240" w:lineRule="auto"/>
        <w:ind w:left="720"/>
        <w:jc w:val="both"/>
        <w:rPr>
          <w:sz w:val="24"/>
          <w:szCs w:val="24"/>
          <w:rtl/>
        </w:rPr>
      </w:pPr>
    </w:p>
    <w:p w14:paraId="2C764231" w14:textId="77777777" w:rsidR="00A65FB0" w:rsidRDefault="00A65FB0" w:rsidP="002C40E1">
      <w:pPr>
        <w:spacing w:after="0" w:line="240" w:lineRule="auto"/>
        <w:jc w:val="both"/>
        <w:rPr>
          <w:sz w:val="24"/>
          <w:szCs w:val="24"/>
          <w:rtl/>
        </w:rPr>
      </w:pPr>
      <w:r w:rsidRPr="000C1943">
        <w:rPr>
          <w:rFonts w:hint="cs"/>
          <w:sz w:val="24"/>
          <w:szCs w:val="24"/>
          <w:rtl/>
        </w:rPr>
        <w:t>הבית יוסף רואה את פסיקתו של רבנו שמחה כניסיון להרחיב את פסיקת רבנו תם גם לנשים, בהתבסס על כך שנשים ועבדים שניהם פטורים ממצוות עשה שהזמן גרמן. אך בכל זאת הבית יוסף פוסק שלא ניתן להתגמש לגבי גיל או מגדר בנוגע לעשירי למניין, במיוחד לאור זאת שרבנו תם מעולם לא נהג בפועל אף לפי פסיקתו המצומצמת יותר.</w:t>
      </w:r>
    </w:p>
    <w:p w14:paraId="54596FBE" w14:textId="77777777" w:rsidR="0090101A" w:rsidRPr="000C1943" w:rsidRDefault="0090101A" w:rsidP="002C40E1">
      <w:pPr>
        <w:spacing w:after="0" w:line="240" w:lineRule="auto"/>
        <w:jc w:val="both"/>
        <w:rPr>
          <w:sz w:val="24"/>
          <w:szCs w:val="24"/>
          <w:rtl/>
        </w:rPr>
      </w:pPr>
    </w:p>
    <w:p w14:paraId="4FD6244C" w14:textId="77777777" w:rsidR="00A65FB0" w:rsidRPr="0090101A" w:rsidRDefault="00A65FB0" w:rsidP="002C40E1">
      <w:pPr>
        <w:spacing w:after="0" w:line="240" w:lineRule="auto"/>
        <w:jc w:val="both"/>
        <w:rPr>
          <w:sz w:val="24"/>
          <w:szCs w:val="24"/>
        </w:rPr>
      </w:pPr>
      <w:r w:rsidRPr="0090101A">
        <w:rPr>
          <w:rFonts w:hint="cs"/>
          <w:sz w:val="24"/>
          <w:szCs w:val="24"/>
          <w:rtl/>
        </w:rPr>
        <w:t>בית יוסף אורח חיים סימן נה </w:t>
      </w:r>
    </w:p>
    <w:p w14:paraId="653B50EC" w14:textId="77777777" w:rsidR="00A65FB0" w:rsidRPr="0090101A" w:rsidRDefault="00A65FB0" w:rsidP="002C40E1">
      <w:pPr>
        <w:spacing w:after="0" w:line="240" w:lineRule="auto"/>
        <w:ind w:left="720"/>
        <w:jc w:val="both"/>
        <w:rPr>
          <w:sz w:val="24"/>
          <w:szCs w:val="24"/>
          <w:rtl/>
        </w:rPr>
      </w:pPr>
      <w:r w:rsidRPr="0090101A">
        <w:rPr>
          <w:rFonts w:hint="cs"/>
          <w:sz w:val="24"/>
          <w:szCs w:val="24"/>
          <w:rtl/>
        </w:rPr>
        <w:t>וכתוב במרדכי (ברכות סו”ס קעג) בשם רבינו שמחה דעבד ואשה מצטרפין לתפלה ולברכת המזון בעשרה ופשוט הוא שזהו לפירוש ר”ת [רבנו תם] דפסק כרבי יהושע בן לוי בעבד אחד מצטרף וסובר רבינו שמחה דהוא הדין לאשה דבכל דוכתא אשה שוה לעבד וכיון דר”ת [דרבנו תם] בעצמו לא רצה לעשות מעשה מי יקל בדבר וכן נהגו העולם שלא לצרף אשה כלל:</w:t>
      </w:r>
    </w:p>
    <w:p w14:paraId="2DF51C0B" w14:textId="77777777" w:rsidR="0090101A" w:rsidRDefault="0090101A" w:rsidP="002C40E1">
      <w:pPr>
        <w:spacing w:after="0" w:line="240" w:lineRule="auto"/>
        <w:jc w:val="both"/>
        <w:rPr>
          <w:sz w:val="24"/>
          <w:szCs w:val="24"/>
          <w:rtl/>
        </w:rPr>
      </w:pPr>
    </w:p>
    <w:p w14:paraId="2F9C5B5B" w14:textId="0620A8B7" w:rsidR="00A65FB0" w:rsidRDefault="00A65FB0" w:rsidP="002C40E1">
      <w:pPr>
        <w:spacing w:after="0" w:line="240" w:lineRule="auto"/>
        <w:jc w:val="both"/>
        <w:rPr>
          <w:sz w:val="24"/>
          <w:szCs w:val="24"/>
          <w:rtl/>
        </w:rPr>
      </w:pPr>
      <w:r w:rsidRPr="000C1943">
        <w:rPr>
          <w:rFonts w:hint="cs"/>
          <w:sz w:val="24"/>
          <w:szCs w:val="24"/>
          <w:rtl/>
        </w:rPr>
        <w:lastRenderedPageBreak/>
        <w:t>שולחן ערוך הרב מציין כי פסיקתו של הבית יוסף בעניין זה נפסקה להלכה, אם כי הוא מכיר במי שבשעת הדחק סופר קטן למניין ואינו מוחה על כך:</w:t>
      </w:r>
    </w:p>
    <w:p w14:paraId="21CB46C2" w14:textId="77777777" w:rsidR="0090101A" w:rsidRPr="000C1943" w:rsidRDefault="0090101A" w:rsidP="002C40E1">
      <w:pPr>
        <w:spacing w:after="0" w:line="240" w:lineRule="auto"/>
        <w:jc w:val="both"/>
        <w:rPr>
          <w:sz w:val="24"/>
          <w:szCs w:val="24"/>
          <w:rtl/>
        </w:rPr>
      </w:pPr>
    </w:p>
    <w:p w14:paraId="1C6981EF" w14:textId="77777777" w:rsidR="00A65FB0" w:rsidRPr="0090101A" w:rsidRDefault="00A65FB0" w:rsidP="002C40E1">
      <w:pPr>
        <w:spacing w:after="0" w:line="240" w:lineRule="auto"/>
        <w:jc w:val="both"/>
        <w:rPr>
          <w:sz w:val="24"/>
          <w:szCs w:val="24"/>
        </w:rPr>
      </w:pPr>
      <w:r w:rsidRPr="0090101A">
        <w:rPr>
          <w:rFonts w:hint="cs"/>
          <w:sz w:val="24"/>
          <w:szCs w:val="24"/>
          <w:rtl/>
        </w:rPr>
        <w:t>שולחן ערוך הרב או”ח נה, ה </w:t>
      </w:r>
    </w:p>
    <w:p w14:paraId="16AA796E" w14:textId="77777777" w:rsidR="00A65FB0" w:rsidRPr="0090101A" w:rsidRDefault="00A65FB0" w:rsidP="002C40E1">
      <w:pPr>
        <w:spacing w:after="0" w:line="240" w:lineRule="auto"/>
        <w:ind w:left="720"/>
        <w:jc w:val="both"/>
        <w:rPr>
          <w:sz w:val="24"/>
          <w:szCs w:val="24"/>
          <w:rtl/>
        </w:rPr>
      </w:pPr>
      <w:r w:rsidRPr="0090101A">
        <w:rPr>
          <w:rFonts w:hint="cs"/>
          <w:sz w:val="24"/>
          <w:szCs w:val="24"/>
          <w:rtl/>
        </w:rPr>
        <w:t>…ויש אומרים שאין אשה ועבד או קטן מצטרפים בשום ענין אלא צריך שיהו כל עשרה זכרים בני חורין גדולים שהביאו ב’ שערות…וכן עיקר ואעפ”כ [ואף על פי כן] אין למחות באותן שנוהגין להקל בשעת הדחק לצרפו ע”י [על ידי] חומש שבידו או אפילו בלא חומש כיון שיש להם על מי שיסמכו…</w:t>
      </w:r>
    </w:p>
    <w:p w14:paraId="459FC3AB" w14:textId="77777777" w:rsidR="0090101A" w:rsidRDefault="0090101A" w:rsidP="002C40E1">
      <w:pPr>
        <w:spacing w:after="0" w:line="240" w:lineRule="auto"/>
        <w:jc w:val="both"/>
        <w:rPr>
          <w:sz w:val="24"/>
          <w:szCs w:val="24"/>
          <w:rtl/>
        </w:rPr>
      </w:pPr>
    </w:p>
    <w:p w14:paraId="25012F01" w14:textId="4ABCBCB2" w:rsidR="00A65FB0" w:rsidRDefault="00A65FB0" w:rsidP="002C40E1">
      <w:pPr>
        <w:spacing w:after="0" w:line="240" w:lineRule="auto"/>
        <w:jc w:val="both"/>
        <w:rPr>
          <w:sz w:val="24"/>
          <w:szCs w:val="24"/>
          <w:rtl/>
        </w:rPr>
      </w:pPr>
      <w:r w:rsidRPr="000C1943">
        <w:rPr>
          <w:rFonts w:hint="cs"/>
          <w:sz w:val="24"/>
          <w:szCs w:val="24"/>
          <w:rtl/>
        </w:rPr>
        <w:t>שולחן ערוך הרב לא סופר נשים למניין וגם לא אומר שלא יתנגד למצב שבו נשים ייספרו למניין בשעת הדחק.</w:t>
      </w:r>
    </w:p>
    <w:p w14:paraId="47832ACF" w14:textId="77777777" w:rsidR="0090101A" w:rsidRPr="000C1943" w:rsidRDefault="0090101A" w:rsidP="002C40E1">
      <w:pPr>
        <w:spacing w:after="0" w:line="240" w:lineRule="auto"/>
        <w:jc w:val="both"/>
        <w:rPr>
          <w:sz w:val="24"/>
          <w:szCs w:val="24"/>
          <w:rtl/>
        </w:rPr>
      </w:pPr>
    </w:p>
    <w:p w14:paraId="3974FC20" w14:textId="77777777" w:rsidR="00A65FB0" w:rsidRDefault="00A65FB0" w:rsidP="002C40E1">
      <w:pPr>
        <w:spacing w:after="0" w:line="240" w:lineRule="auto"/>
        <w:jc w:val="both"/>
        <w:rPr>
          <w:sz w:val="24"/>
          <w:szCs w:val="24"/>
          <w:rtl/>
        </w:rPr>
      </w:pPr>
      <w:r w:rsidRPr="000C1943">
        <w:rPr>
          <w:rFonts w:hint="cs"/>
          <w:sz w:val="24"/>
          <w:szCs w:val="24"/>
          <w:rtl/>
        </w:rPr>
        <w:t xml:space="preserve">בפועל, אישה אינה נספרת למניין. </w:t>
      </w:r>
    </w:p>
    <w:p w14:paraId="4DBA7DF4" w14:textId="77777777" w:rsidR="0090101A" w:rsidRPr="000C1943" w:rsidRDefault="0090101A" w:rsidP="002C40E1">
      <w:pPr>
        <w:spacing w:after="0" w:line="240" w:lineRule="auto"/>
        <w:jc w:val="both"/>
        <w:rPr>
          <w:sz w:val="24"/>
          <w:szCs w:val="24"/>
          <w:rtl/>
        </w:rPr>
      </w:pPr>
    </w:p>
    <w:p w14:paraId="57F92B65" w14:textId="77777777" w:rsidR="00A65FB0" w:rsidRPr="000C1943" w:rsidRDefault="00A65FB0" w:rsidP="002C40E1">
      <w:pPr>
        <w:pStyle w:val="HashkafahTitle"/>
        <w:spacing w:before="0" w:line="240" w:lineRule="auto"/>
        <w:jc w:val="both"/>
        <w:rPr>
          <w:sz w:val="24"/>
          <w:szCs w:val="24"/>
          <w:rtl/>
        </w:rPr>
      </w:pPr>
      <w:r w:rsidRPr="000C1943">
        <w:rPr>
          <w:rFonts w:hint="cs"/>
          <w:sz w:val="24"/>
          <w:szCs w:val="24"/>
          <w:rtl/>
        </w:rPr>
        <w:t>איך אישה יכולה להרגיש חלק מתפילה בציבור אם היא אינה נספרת למניין?</w:t>
      </w:r>
    </w:p>
    <w:p w14:paraId="0D029E62" w14:textId="77777777" w:rsidR="00A65FB0" w:rsidRDefault="00A65FB0" w:rsidP="002C40E1">
      <w:pPr>
        <w:pStyle w:val="HashkafahText"/>
        <w:spacing w:after="0" w:line="240" w:lineRule="auto"/>
        <w:jc w:val="both"/>
        <w:rPr>
          <w:sz w:val="24"/>
          <w:szCs w:val="24"/>
          <w:rtl/>
        </w:rPr>
      </w:pPr>
      <w:r w:rsidRPr="000C1943">
        <w:rPr>
          <w:rFonts w:hint="cs"/>
          <w:sz w:val="24"/>
          <w:szCs w:val="24"/>
          <w:rtl/>
        </w:rPr>
        <w:t xml:space="preserve">פועל יוצא מכך שנשים אינן נספרות למניין הוא שאישה הרוצה להשתתף בתפילה בציבור, כולל דברים שבקדושה וקריאת התורה, צריכה להתפלל יחד עם גברים. השתתפותם של גברים בתפילה בציבור, לעומת זאת, אינה תלויה בנוכחות נשים. דבר זה יוצר חוסר איזון העלול לגרום למצבים רגישים, כגון מצב שבו לא קיים אזור המותאם לתפילה בעבור נשים המעוניינות להתפלל. </w:t>
      </w:r>
    </w:p>
    <w:p w14:paraId="072A4396" w14:textId="77777777" w:rsidR="0090101A" w:rsidRPr="000C1943" w:rsidRDefault="0090101A" w:rsidP="002C40E1">
      <w:pPr>
        <w:pStyle w:val="HashkafahText"/>
        <w:spacing w:after="0" w:line="240" w:lineRule="auto"/>
        <w:jc w:val="both"/>
        <w:rPr>
          <w:sz w:val="24"/>
          <w:szCs w:val="24"/>
          <w:rtl/>
        </w:rPr>
      </w:pPr>
    </w:p>
    <w:p w14:paraId="3882BD2A" w14:textId="77777777" w:rsidR="00A65FB0" w:rsidRDefault="00A65FB0" w:rsidP="002C40E1">
      <w:pPr>
        <w:pStyle w:val="HashkafahText"/>
        <w:spacing w:after="0" w:line="240" w:lineRule="auto"/>
        <w:jc w:val="both"/>
        <w:rPr>
          <w:sz w:val="24"/>
          <w:szCs w:val="24"/>
          <w:rtl/>
        </w:rPr>
      </w:pPr>
      <w:r w:rsidRPr="000C1943">
        <w:rPr>
          <w:rFonts w:hint="cs"/>
          <w:sz w:val="24"/>
          <w:szCs w:val="24"/>
          <w:rtl/>
        </w:rPr>
        <w:t xml:space="preserve">אפילו כאשר ישנה עזרת נשים מזמינה, גברים לפעמים מאחרים לבית הכנסת ומעכבים את הציבור הממתין למניין. במקרים אלה, אישה שעשתה מאמץ להגיע בזמן ניצבת מול העובדה הקשה שנוכחותה אינה נחשבת לצורך המניין. פעמים רבות המצב נהיה מורכב אף יותר בשל אמירות כמו "אנחנו צריכים עוד אדם אחד כדי להתחיל", מה שעלול לגרום לאישה להרגיש בלתי נראית או חסרת משמעות. </w:t>
      </w:r>
    </w:p>
    <w:p w14:paraId="4A6FC843" w14:textId="77777777" w:rsidR="0090101A" w:rsidRPr="000C1943" w:rsidRDefault="0090101A" w:rsidP="002C40E1">
      <w:pPr>
        <w:pStyle w:val="HashkafahText"/>
        <w:spacing w:after="0" w:line="240" w:lineRule="auto"/>
        <w:jc w:val="both"/>
        <w:rPr>
          <w:sz w:val="24"/>
          <w:szCs w:val="24"/>
          <w:rtl/>
        </w:rPr>
      </w:pPr>
    </w:p>
    <w:p w14:paraId="0A9FCA81" w14:textId="77777777" w:rsidR="00A65FB0" w:rsidRDefault="00A65FB0" w:rsidP="002C40E1">
      <w:pPr>
        <w:pStyle w:val="HashkafahText"/>
        <w:spacing w:after="0" w:line="240" w:lineRule="auto"/>
        <w:jc w:val="both"/>
        <w:rPr>
          <w:sz w:val="24"/>
          <w:szCs w:val="24"/>
          <w:rtl/>
        </w:rPr>
      </w:pPr>
      <w:r w:rsidRPr="000C1943">
        <w:rPr>
          <w:rFonts w:hint="cs"/>
          <w:sz w:val="24"/>
          <w:szCs w:val="24"/>
          <w:rtl/>
        </w:rPr>
        <w:t>בתגובה למורכבות של דינמיקה זו, ובניסיון לגרום לגברים להיות יותר מודעים לכך שנשים יכולות להשתתף בתפילה בציבור, החליטו קהילות מסוימות להמתין עם תחילת התפילה עד שיגיעו עשרה גברים ועשר נשים. עם זאת, נוהג זה עלול להטיל עומס משמעותי על הקהילה ויהיה בלתי מציאותי בקהילות רבות. נראה כי רוב הקהילות המעוניינות בכך אימצו מנהג זה רק בשבתות וחגים, ולא במקרה.</w:t>
      </w:r>
    </w:p>
    <w:p w14:paraId="01E23D89" w14:textId="77777777" w:rsidR="0090101A" w:rsidRPr="000C1943" w:rsidRDefault="0090101A" w:rsidP="002C40E1">
      <w:pPr>
        <w:pStyle w:val="HashkafahText"/>
        <w:spacing w:after="0" w:line="240" w:lineRule="auto"/>
        <w:jc w:val="both"/>
        <w:rPr>
          <w:sz w:val="24"/>
          <w:szCs w:val="24"/>
          <w:rtl/>
        </w:rPr>
      </w:pPr>
    </w:p>
    <w:p w14:paraId="2F286CF6" w14:textId="77777777" w:rsidR="00A65FB0" w:rsidRDefault="00A65FB0" w:rsidP="002C40E1">
      <w:pPr>
        <w:pStyle w:val="HashkafahText"/>
        <w:spacing w:after="0" w:line="240" w:lineRule="auto"/>
        <w:jc w:val="both"/>
        <w:rPr>
          <w:sz w:val="24"/>
          <w:szCs w:val="24"/>
          <w:rtl/>
        </w:rPr>
      </w:pPr>
      <w:r w:rsidRPr="000C1943">
        <w:rPr>
          <w:rFonts w:hint="cs"/>
          <w:sz w:val="24"/>
          <w:szCs w:val="24"/>
          <w:rtl/>
        </w:rPr>
        <w:t xml:space="preserve">אחת האפשרויות להקל על עניין זה, היכולה להתאים למגוון רחב של קהילות, היא לשים דגש רב יותר על הגעת גברים למניין בזמן, כך שלא יהיה צורך לספור את הגברים הנמצאים במקום ולהתעלם מהנשים שהגיעו. רגישות בתחום זה עשויה לסייע רבות בשיפור אווירת התפילה בעבור נשים. </w:t>
      </w:r>
    </w:p>
    <w:p w14:paraId="68AFA0E8" w14:textId="77777777" w:rsidR="0090101A" w:rsidRPr="000C1943" w:rsidRDefault="0090101A" w:rsidP="002C40E1">
      <w:pPr>
        <w:pStyle w:val="HashkafahText"/>
        <w:spacing w:after="0" w:line="240" w:lineRule="auto"/>
        <w:jc w:val="both"/>
        <w:rPr>
          <w:sz w:val="24"/>
          <w:szCs w:val="24"/>
          <w:rtl/>
        </w:rPr>
      </w:pPr>
    </w:p>
    <w:p w14:paraId="3CE8F8C0" w14:textId="77777777" w:rsidR="00EF1970" w:rsidRDefault="00A65FB0" w:rsidP="002C40E1">
      <w:pPr>
        <w:pStyle w:val="HashkafahText"/>
        <w:spacing w:after="0" w:line="240" w:lineRule="auto"/>
        <w:jc w:val="both"/>
        <w:rPr>
          <w:sz w:val="24"/>
          <w:szCs w:val="24"/>
          <w:rtl/>
        </w:rPr>
      </w:pPr>
      <w:r w:rsidRPr="000C1943">
        <w:rPr>
          <w:rFonts w:hint="cs"/>
          <w:sz w:val="24"/>
          <w:szCs w:val="24"/>
          <w:rtl/>
        </w:rPr>
        <w:t>גם לנשים יש תפקיד בהפיכת התפילה בציבור למזמינה יותר בעבור נשים אחרות. כפי שמציעה אלכסנדרה דונייץ, קהילות יכולות לעשות מאמץ ולהבטיח שלפחות אישה אחת תגיע לכל תפילה, כך שעזרת הנשים תהיה תמיד פתוחה ומזמינה עבור נשים המגיעות, בקביעות או שלא בקביעות:</w:t>
      </w:r>
      <w:r w:rsidRPr="000C1943">
        <w:rPr>
          <w:rStyle w:val="FootnoteReference"/>
          <w:sz w:val="24"/>
          <w:szCs w:val="24"/>
          <w:rtl/>
        </w:rPr>
        <w:footnoteReference w:id="22"/>
      </w:r>
    </w:p>
    <w:p w14:paraId="48E1D0E8" w14:textId="77777777" w:rsidR="0090101A" w:rsidRPr="000C1943" w:rsidRDefault="0090101A" w:rsidP="002C40E1">
      <w:pPr>
        <w:pStyle w:val="HashkafahText"/>
        <w:spacing w:after="0" w:line="240" w:lineRule="auto"/>
        <w:jc w:val="both"/>
        <w:rPr>
          <w:sz w:val="24"/>
          <w:szCs w:val="24"/>
          <w:rtl/>
        </w:rPr>
      </w:pPr>
    </w:p>
    <w:p w14:paraId="509BC05B" w14:textId="77777777" w:rsidR="00EF1970" w:rsidRPr="0090101A" w:rsidRDefault="00EF1970" w:rsidP="002C40E1">
      <w:pPr>
        <w:spacing w:after="0" w:line="240" w:lineRule="auto"/>
        <w:jc w:val="both"/>
        <w:rPr>
          <w:sz w:val="24"/>
          <w:szCs w:val="24"/>
          <w:rtl/>
        </w:rPr>
      </w:pPr>
      <w:r w:rsidRPr="0090101A">
        <w:rPr>
          <w:rFonts w:hint="cs"/>
          <w:sz w:val="24"/>
          <w:szCs w:val="24"/>
          <w:rtl/>
        </w:rPr>
        <w:t>אלכסנדרה דוניץ, "שתי נשים למניין"</w:t>
      </w:r>
    </w:p>
    <w:p w14:paraId="022F3E66" w14:textId="77777777" w:rsidR="00EF1970" w:rsidRPr="0090101A" w:rsidRDefault="00EF1970" w:rsidP="002C40E1">
      <w:pPr>
        <w:spacing w:after="0" w:line="240" w:lineRule="auto"/>
        <w:ind w:left="720"/>
        <w:jc w:val="both"/>
        <w:rPr>
          <w:sz w:val="24"/>
          <w:szCs w:val="24"/>
          <w:rtl/>
        </w:rPr>
      </w:pPr>
      <w:r w:rsidRPr="0090101A">
        <w:rPr>
          <w:rFonts w:hint="cs"/>
          <w:sz w:val="24"/>
          <w:szCs w:val="24"/>
          <w:rtl/>
        </w:rPr>
        <w:t xml:space="preserve">חשבתי על כך, שבשעה שגברים הולכים לבית הכנסת, החשש שלהם הוא האם יגיעו התשיעי או העשירי למניין, ובקהילות גדולות זו בעיה המתעוררת לעיתים רחוקות. נשים, לעומת זאת, תוהות לגבי האישה השנייה. במילים אחרות, האם תהיה שם אישה נוספת? ... אולי יש לנו, הנשים, תפקיד ציבורי בבית הכנסת כיום, לפחות זו כלפי זו. כאשר אני מגיעה, אם אישה נוספת תגיע למניין המוקדם בבית הכנסת שלי </w:t>
      </w:r>
      <w:r w:rsidRPr="0090101A">
        <w:rPr>
          <w:sz w:val="24"/>
          <w:szCs w:val="24"/>
          <w:rtl/>
        </w:rPr>
        <w:t>–</w:t>
      </w:r>
      <w:r w:rsidRPr="0090101A">
        <w:rPr>
          <w:rFonts w:hint="cs"/>
          <w:sz w:val="24"/>
          <w:szCs w:val="24"/>
          <w:rtl/>
        </w:rPr>
        <w:t xml:space="preserve"> בין אם כדי לומר קדיש, או עבור ברית מילה, או כדי לשמוע את קריאת התורה, או כדי למלא את הצורך שלה לעמוד לפני ה' הרחק מהבית או מהמשרד – היא לא תהיה לבד.</w:t>
      </w:r>
    </w:p>
    <w:p w14:paraId="3125672D" w14:textId="77777777" w:rsidR="0090101A" w:rsidRDefault="0090101A" w:rsidP="002C40E1">
      <w:pPr>
        <w:pStyle w:val="HashkafahText"/>
        <w:spacing w:after="0" w:line="240" w:lineRule="auto"/>
        <w:jc w:val="both"/>
        <w:rPr>
          <w:sz w:val="24"/>
          <w:szCs w:val="24"/>
          <w:rtl/>
        </w:rPr>
      </w:pPr>
    </w:p>
    <w:p w14:paraId="697992A3" w14:textId="1B2337EE" w:rsidR="00EF1970" w:rsidRPr="000C1943" w:rsidRDefault="00EF1970" w:rsidP="002C40E1">
      <w:pPr>
        <w:pStyle w:val="HashkafahText"/>
        <w:spacing w:after="0" w:line="240" w:lineRule="auto"/>
        <w:jc w:val="both"/>
        <w:rPr>
          <w:sz w:val="24"/>
          <w:szCs w:val="24"/>
          <w:rtl/>
        </w:rPr>
      </w:pPr>
      <w:r w:rsidRPr="000C1943">
        <w:rPr>
          <w:rFonts w:hint="cs"/>
          <w:sz w:val="24"/>
          <w:szCs w:val="24"/>
          <w:rtl/>
        </w:rPr>
        <w:lastRenderedPageBreak/>
        <w:t>גם כאשר חוסר האיזון המגדרי אינו נתון לשינוי, החוויה הנוצרת בעקבות כך יכולה להיות שונה בכל קהילה. ביכולתם של כל חברי הקהילה לעזור לנשים להרגיש רצויות בתפילה בציבור.</w:t>
      </w:r>
    </w:p>
    <w:p w14:paraId="77FB7146" w14:textId="77777777" w:rsidR="00EF1970" w:rsidRPr="000C1943" w:rsidRDefault="00EF1970" w:rsidP="002C40E1">
      <w:pPr>
        <w:spacing w:after="0" w:line="240" w:lineRule="auto"/>
        <w:jc w:val="both"/>
        <w:rPr>
          <w:sz w:val="24"/>
          <w:szCs w:val="24"/>
          <w:rtl/>
        </w:rPr>
      </w:pPr>
    </w:p>
    <w:p w14:paraId="04357728" w14:textId="77777777" w:rsidR="00EF1970" w:rsidRPr="000C1943" w:rsidRDefault="00EF1970" w:rsidP="002C40E1">
      <w:pPr>
        <w:pStyle w:val="Heading1"/>
        <w:spacing w:before="0" w:line="240" w:lineRule="auto"/>
        <w:jc w:val="both"/>
        <w:rPr>
          <w:sz w:val="24"/>
          <w:szCs w:val="24"/>
          <w:rtl/>
        </w:rPr>
      </w:pPr>
      <w:r w:rsidRPr="000C1943">
        <w:rPr>
          <w:rFonts w:hint="cs"/>
          <w:sz w:val="24"/>
          <w:szCs w:val="24"/>
          <w:rtl/>
        </w:rPr>
        <w:t>העמקה נוספת</w:t>
      </w:r>
    </w:p>
    <w:p w14:paraId="50AD0805" w14:textId="62232889" w:rsidR="00A314A9" w:rsidRPr="000C1943" w:rsidRDefault="00EF1970" w:rsidP="002C40E1">
      <w:pPr>
        <w:pStyle w:val="FootnoteText"/>
        <w:jc w:val="both"/>
        <w:rPr>
          <w:sz w:val="24"/>
          <w:szCs w:val="24"/>
        </w:rPr>
      </w:pPr>
      <w:r w:rsidRPr="000C1943">
        <w:rPr>
          <w:rFonts w:hint="cs"/>
          <w:sz w:val="24"/>
          <w:szCs w:val="24"/>
          <w:rtl/>
        </w:rPr>
        <w:t>הרב אריה פריימר, "</w:t>
      </w:r>
      <w:hyperlink r:id="rId12" w:history="1">
        <w:r w:rsidRPr="000C1943">
          <w:rPr>
            <w:rStyle w:val="Hyperlink"/>
            <w:rFonts w:hint="cs"/>
            <w:sz w:val="24"/>
            <w:szCs w:val="24"/>
            <w:rtl/>
          </w:rPr>
          <w:t>נשים ומניין</w:t>
        </w:r>
      </w:hyperlink>
      <w:r w:rsidRPr="000C1943">
        <w:rPr>
          <w:rFonts w:hint="cs"/>
          <w:sz w:val="24"/>
          <w:szCs w:val="24"/>
          <w:rtl/>
        </w:rPr>
        <w:t xml:space="preserve">", </w:t>
      </w:r>
      <w:r w:rsidRPr="000C1943">
        <w:rPr>
          <w:sz w:val="24"/>
          <w:szCs w:val="24"/>
        </w:rPr>
        <w:t>Tradition</w:t>
      </w:r>
      <w:r w:rsidRPr="000C1943">
        <w:rPr>
          <w:rFonts w:hint="cs"/>
          <w:sz w:val="24"/>
          <w:szCs w:val="24"/>
          <w:rtl/>
        </w:rPr>
        <w:t xml:space="preserve"> 24:4, (קיץ 1989), עמ' 54-77.</w:t>
      </w:r>
      <w:r w:rsidR="00605DD5" w:rsidRPr="000C1943">
        <w:rPr>
          <w:sz w:val="24"/>
          <w:szCs w:val="24"/>
        </w:rPr>
        <w:t xml:space="preserve"> </w:t>
      </w:r>
      <w:r w:rsidR="00605DD5" w:rsidRPr="000C1943">
        <w:rPr>
          <w:rFonts w:hint="cs"/>
          <w:sz w:val="24"/>
          <w:szCs w:val="24"/>
          <w:rtl/>
        </w:rPr>
        <w:t xml:space="preserve">בעברית: </w:t>
      </w:r>
      <w:r w:rsidR="00605DD5" w:rsidRPr="000C1943">
        <w:rPr>
          <w:rFonts w:cs="Arial"/>
          <w:sz w:val="24"/>
          <w:szCs w:val="24"/>
          <w:rtl/>
        </w:rPr>
        <w:t>אריה פרימר, "מעמד האשה בהלכה נשים ומנין", אור המזרח ל"ד (תשמ"ו), עמ’69-86</w:t>
      </w:r>
      <w:r w:rsidR="00605DD5" w:rsidRPr="000C1943">
        <w:rPr>
          <w:rFonts w:cs="Arial" w:hint="cs"/>
          <w:sz w:val="24"/>
          <w:szCs w:val="24"/>
          <w:rtl/>
        </w:rPr>
        <w:t>.</w:t>
      </w:r>
    </w:p>
    <w:sectPr w:rsidR="00A314A9" w:rsidRPr="000C194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ED59" w14:textId="77777777" w:rsidR="00463147" w:rsidRDefault="00463147" w:rsidP="00CA3C8F">
      <w:r>
        <w:separator/>
      </w:r>
    </w:p>
  </w:endnote>
  <w:endnote w:type="continuationSeparator" w:id="0">
    <w:p w14:paraId="2C7EBDFA" w14:textId="77777777" w:rsidR="00463147" w:rsidRDefault="00463147"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2922870"/>
      <w:docPartObj>
        <w:docPartGallery w:val="Page Numbers (Bottom of Page)"/>
        <w:docPartUnique/>
      </w:docPartObj>
    </w:sdtPr>
    <w:sdtEndPr>
      <w:rPr>
        <w:noProof/>
      </w:rPr>
    </w:sdtEndPr>
    <w:sdtContent>
      <w:p w14:paraId="37CD8F78" w14:textId="24F8ABF6" w:rsidR="000C1943" w:rsidRDefault="000C19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AE4D53" w14:textId="77777777" w:rsidR="000C1943" w:rsidRDefault="000C1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EC91" w14:textId="77777777" w:rsidR="00463147" w:rsidRDefault="00463147" w:rsidP="00CA3C8F">
      <w:r>
        <w:separator/>
      </w:r>
    </w:p>
  </w:footnote>
  <w:footnote w:type="continuationSeparator" w:id="0">
    <w:p w14:paraId="23A6145C" w14:textId="77777777" w:rsidR="00463147" w:rsidRDefault="00463147" w:rsidP="00CA3C8F">
      <w:r>
        <w:continuationSeparator/>
      </w:r>
    </w:p>
  </w:footnote>
  <w:footnote w:id="1">
    <w:p w14:paraId="056BC463" w14:textId="0748E70E" w:rsidR="0094594A" w:rsidRPr="00922BF6" w:rsidRDefault="00A65FB0" w:rsidP="002C40E1">
      <w:pPr>
        <w:pStyle w:val="FootnoteText"/>
        <w:jc w:val="both"/>
        <w:rPr>
          <w:rtl/>
        </w:rPr>
      </w:pPr>
      <w:r w:rsidRPr="00A65FB0">
        <w:rPr>
          <w:vertAlign w:val="superscript"/>
        </w:rPr>
        <w:footnoteRef/>
      </w:r>
      <w:r w:rsidRPr="00922BF6">
        <w:rPr>
          <w:vertAlign w:val="superscript"/>
        </w:rPr>
        <w:t xml:space="preserve"> </w:t>
      </w:r>
      <w:r w:rsidRPr="00A65FB0">
        <w:rPr>
          <w:rFonts w:hint="eastAsia"/>
          <w:rtl/>
        </w:rPr>
        <w:t>מאמר</w:t>
      </w:r>
      <w:r w:rsidRPr="00A65FB0">
        <w:rPr>
          <w:rtl/>
        </w:rPr>
        <w:t xml:space="preserve"> זה נשען רבות על המקורות והניתוח של הרב אריה פריימר, "נשים ומניין", </w:t>
      </w:r>
      <w:r w:rsidRPr="00A65FB0">
        <w:t>Tradition</w:t>
      </w:r>
      <w:r w:rsidRPr="00A65FB0">
        <w:rPr>
          <w:rtl/>
        </w:rPr>
        <w:t xml:space="preserve"> 24:4, (קיץ 1989), עמ' 54-77. ניתן למצוא </w:t>
      </w:r>
      <w:hyperlink r:id="rId1" w:history="1">
        <w:r w:rsidRPr="00605DD5">
          <w:rPr>
            <w:rStyle w:val="Hyperlink"/>
            <w:rFonts w:hint="eastAsia"/>
            <w:rtl/>
          </w:rPr>
          <w:t>כאן</w:t>
        </w:r>
      </w:hyperlink>
      <w:r w:rsidRPr="00A65FB0">
        <w:rPr>
          <w:rtl/>
        </w:rPr>
        <w:t>.</w:t>
      </w:r>
      <w:r w:rsidRPr="00922BF6">
        <w:rPr>
          <w:rtl/>
        </w:rPr>
        <w:t xml:space="preserve"> </w:t>
      </w:r>
      <w:r w:rsidR="00605DD5">
        <w:rPr>
          <w:rFonts w:hint="cs"/>
          <w:rtl/>
        </w:rPr>
        <w:t xml:space="preserve">ובעברית: </w:t>
      </w:r>
      <w:r w:rsidR="00605DD5" w:rsidRPr="00605DD5">
        <w:rPr>
          <w:rFonts w:cs="Arial"/>
          <w:rtl/>
        </w:rPr>
        <w:t>אריה פרימר, "מעמד האשה בהלכה נשים ומנין", אור המזרח ל"ד (תשמ"ו), עמ’69-86</w:t>
      </w:r>
      <w:r w:rsidR="00605DD5">
        <w:rPr>
          <w:rFonts w:cs="Arial" w:hint="cs"/>
          <w:rtl/>
        </w:rPr>
        <w:t>.</w:t>
      </w:r>
    </w:p>
  </w:footnote>
  <w:footnote w:id="2">
    <w:p w14:paraId="05417BAA" w14:textId="1442C89A"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בפרק ה' בפרקי אבות מופיעים שימושים משמעותיים נוספים למספר עשר.</w:t>
      </w:r>
    </w:p>
  </w:footnote>
  <w:footnote w:id="3">
    <w:p w14:paraId="4FF55E75" w14:textId="77777777" w:rsidR="00A65FB0" w:rsidRPr="000C1943" w:rsidRDefault="00A65FB0" w:rsidP="002C40E1">
      <w:pPr>
        <w:spacing w:after="0" w:line="240" w:lineRule="auto"/>
        <w:rPr>
          <w:sz w:val="20"/>
          <w:szCs w:val="20"/>
        </w:rPr>
      </w:pPr>
      <w:r w:rsidRPr="000C1943">
        <w:rPr>
          <w:sz w:val="20"/>
          <w:szCs w:val="20"/>
          <w:vertAlign w:val="superscript"/>
        </w:rPr>
        <w:footnoteRef/>
      </w:r>
      <w:r w:rsidRPr="000C1943">
        <w:rPr>
          <w:sz w:val="20"/>
          <w:szCs w:val="20"/>
        </w:rPr>
        <w:t xml:space="preserve"> </w:t>
      </w:r>
      <w:r w:rsidRPr="000C1943">
        <w:rPr>
          <w:rFonts w:hint="cs"/>
          <w:sz w:val="20"/>
          <w:szCs w:val="20"/>
          <w:rtl/>
        </w:rPr>
        <w:t>בראשית י"ח, לב </w:t>
      </w:r>
    </w:p>
    <w:p w14:paraId="071E50C2" w14:textId="0DC71266" w:rsidR="00A65FB0" w:rsidRPr="00922BF6" w:rsidRDefault="00A65FB0" w:rsidP="002C40E1">
      <w:pPr>
        <w:spacing w:after="0" w:line="240" w:lineRule="auto"/>
        <w:ind w:left="720"/>
        <w:rPr>
          <w:rtl/>
        </w:rPr>
      </w:pPr>
      <w:r w:rsidRPr="000C1943">
        <w:rPr>
          <w:rFonts w:hint="cs"/>
          <w:sz w:val="20"/>
          <w:szCs w:val="20"/>
          <w:rtl/>
        </w:rPr>
        <w:t>וַיֹּאמֶר אַל נָא יִחַר לַאדֹנָי וַאֲדַבְּרָה אַךְ הַפַּעַם אוּלַי יִמָּצְאוּן שָׁם עֲשָׂרָה וַיֹּאמֶר לֹא אַשְׁחִית בַּעֲבוּר הָעֲשָׂרָה.</w:t>
      </w:r>
    </w:p>
  </w:footnote>
  <w:footnote w:id="4">
    <w:p w14:paraId="310CD1FB" w14:textId="77777777" w:rsidR="00A65FB0" w:rsidRPr="000C1943" w:rsidRDefault="00A65FB0" w:rsidP="002C40E1">
      <w:pPr>
        <w:spacing w:after="0" w:line="240" w:lineRule="auto"/>
        <w:rPr>
          <w:sz w:val="20"/>
          <w:szCs w:val="20"/>
        </w:rPr>
      </w:pPr>
      <w:r w:rsidRPr="000C1943">
        <w:rPr>
          <w:sz w:val="20"/>
          <w:szCs w:val="20"/>
          <w:vertAlign w:val="superscript"/>
        </w:rPr>
        <w:footnoteRef/>
      </w:r>
      <w:r w:rsidRPr="000C1943">
        <w:rPr>
          <w:sz w:val="20"/>
          <w:szCs w:val="20"/>
        </w:rPr>
        <w:t xml:space="preserve"> </w:t>
      </w:r>
      <w:r w:rsidRPr="000C1943">
        <w:rPr>
          <w:rFonts w:hint="cs"/>
          <w:sz w:val="20"/>
          <w:szCs w:val="20"/>
          <w:rtl/>
        </w:rPr>
        <w:t>שמות פרק י"ח, כה </w:t>
      </w:r>
    </w:p>
    <w:p w14:paraId="53E06A2A" w14:textId="77777777" w:rsidR="00A65FB0" w:rsidRPr="00922BF6" w:rsidRDefault="00A65FB0" w:rsidP="002C40E1">
      <w:pPr>
        <w:spacing w:after="0" w:line="240" w:lineRule="auto"/>
        <w:ind w:left="720"/>
        <w:rPr>
          <w:sz w:val="20"/>
          <w:szCs w:val="20"/>
          <w:rtl/>
        </w:rPr>
      </w:pPr>
      <w:r w:rsidRPr="000C1943">
        <w:rPr>
          <w:rFonts w:hint="cs"/>
          <w:sz w:val="20"/>
          <w:szCs w:val="20"/>
          <w:rtl/>
        </w:rPr>
        <w:t>וַיִּבְחַר מֹשֶׁה אַנְשֵׁי חַיִל מִכָּל יִשְׂרָאֵל וַיִּתֵּן אֹתָם רָאשִׁים עַל הָעָם שָׂרֵי אֲלָפִים שָׂרֵי מֵאוֹת שָׂרֵי חֲמִשִּׁים וְשָׂרֵי עֲשָׂרֹת.</w:t>
      </w:r>
    </w:p>
  </w:footnote>
  <w:footnote w:id="5">
    <w:p w14:paraId="6355C13F" w14:textId="77777777" w:rsidR="00A65FB0" w:rsidRPr="000C1943" w:rsidRDefault="00A65FB0" w:rsidP="002C40E1">
      <w:pPr>
        <w:spacing w:after="0" w:line="240" w:lineRule="auto"/>
        <w:rPr>
          <w:sz w:val="20"/>
          <w:szCs w:val="20"/>
        </w:rPr>
      </w:pPr>
      <w:r w:rsidRPr="000C1943">
        <w:rPr>
          <w:sz w:val="20"/>
          <w:szCs w:val="20"/>
          <w:vertAlign w:val="superscript"/>
        </w:rPr>
        <w:footnoteRef/>
      </w:r>
      <w:r w:rsidRPr="000C1943">
        <w:rPr>
          <w:sz w:val="20"/>
          <w:szCs w:val="20"/>
        </w:rPr>
        <w:t xml:space="preserve"> </w:t>
      </w:r>
      <w:r w:rsidRPr="000C1943">
        <w:rPr>
          <w:rFonts w:hint="cs"/>
          <w:sz w:val="20"/>
          <w:szCs w:val="20"/>
          <w:rtl/>
        </w:rPr>
        <w:t>ברכות כא ע"ב </w:t>
      </w:r>
    </w:p>
    <w:p w14:paraId="6BE36E9E" w14:textId="77777777" w:rsidR="00A65FB0" w:rsidRPr="00922BF6" w:rsidRDefault="00A65FB0" w:rsidP="002C40E1">
      <w:pPr>
        <w:spacing w:after="0" w:line="240" w:lineRule="auto"/>
        <w:ind w:left="720"/>
        <w:rPr>
          <w:sz w:val="20"/>
          <w:szCs w:val="20"/>
          <w:rtl/>
        </w:rPr>
      </w:pPr>
      <w:r w:rsidRPr="000C1943">
        <w:rPr>
          <w:rFonts w:hint="cs"/>
          <w:sz w:val="20"/>
          <w:szCs w:val="20"/>
          <w:rtl/>
        </w:rPr>
        <w:t>אמר רב אדא בר אהבה: מנין שאין היחיד אומר קדושה? שנאמר: "ונקדשתי בתוך בני ישראל” (ויקרא כ"ב, לב) – כל דבר שבקדושה לא יהא פחות מעשרה.</w:t>
      </w:r>
    </w:p>
  </w:footnote>
  <w:footnote w:id="6">
    <w:p w14:paraId="0F179059" w14:textId="77777777" w:rsidR="00A65FB0" w:rsidRPr="000C1943" w:rsidRDefault="00A65FB0" w:rsidP="002C40E1">
      <w:pPr>
        <w:spacing w:after="0" w:line="240" w:lineRule="auto"/>
        <w:rPr>
          <w:sz w:val="20"/>
          <w:szCs w:val="20"/>
        </w:rPr>
      </w:pPr>
      <w:r w:rsidRPr="000C1943">
        <w:rPr>
          <w:sz w:val="20"/>
          <w:szCs w:val="20"/>
          <w:vertAlign w:val="superscript"/>
        </w:rPr>
        <w:footnoteRef/>
      </w:r>
      <w:r w:rsidRPr="000C1943">
        <w:rPr>
          <w:sz w:val="20"/>
          <w:szCs w:val="20"/>
          <w:vertAlign w:val="superscript"/>
        </w:rPr>
        <w:t xml:space="preserve"> </w:t>
      </w:r>
      <w:r w:rsidRPr="000C1943">
        <w:rPr>
          <w:rFonts w:hint="cs"/>
          <w:sz w:val="20"/>
          <w:szCs w:val="20"/>
          <w:rtl/>
        </w:rPr>
        <w:t>ערוך השולחן אורח חיים סימן נה </w:t>
      </w:r>
    </w:p>
    <w:p w14:paraId="006824A2" w14:textId="66396E00" w:rsidR="00A65FB0" w:rsidRPr="00922BF6" w:rsidRDefault="00A65FB0" w:rsidP="002C40E1">
      <w:pPr>
        <w:spacing w:after="0" w:line="240" w:lineRule="auto"/>
        <w:ind w:left="720"/>
        <w:rPr>
          <w:sz w:val="20"/>
          <w:szCs w:val="20"/>
          <w:rtl/>
        </w:rPr>
      </w:pPr>
      <w:r w:rsidRPr="000C1943">
        <w:rPr>
          <w:rFonts w:hint="cs"/>
          <w:sz w:val="20"/>
          <w:szCs w:val="20"/>
          <w:rtl/>
        </w:rPr>
        <w:t>ולכן לקדיש ולקדושה ולברכו כשאין עשרה לא יאמרו דעל בי עשרה שכינתא שריא</w:t>
      </w:r>
    </w:p>
  </w:footnote>
  <w:footnote w:id="7">
    <w:p w14:paraId="32D54E94" w14:textId="23BFE862" w:rsidR="000C1943"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הדרשות </w:t>
      </w:r>
      <w:r w:rsidRPr="00922BF6">
        <w:rPr>
          <w:rFonts w:hint="cs"/>
          <w:rtl/>
        </w:rPr>
        <w:t>האלו מתייחסים לשני המקרים הראשונים במשנה, וייתכן שגם לחלק מהמקרים המאוחרים יותר. המקרים המאוחרים ברובם דורשים את המספר עשר באופן עצמאי ואינם נמצאים תחת אותה קטגוריה של "דבר שבקדושה". אנו משתמשים כאן במונח "קישור", ולא "דרשה", מכיוון שכפי שהר"ן הסביר, פסוקים אלה הם לא ממש דרשות ויותר בגדר אסמכתא:</w:t>
      </w:r>
    </w:p>
    <w:p w14:paraId="04D44001" w14:textId="77777777" w:rsidR="00A65FB0" w:rsidRPr="000C1943" w:rsidRDefault="00A65FB0" w:rsidP="002C40E1">
      <w:pPr>
        <w:spacing w:after="0" w:line="240" w:lineRule="auto"/>
        <w:rPr>
          <w:sz w:val="20"/>
          <w:szCs w:val="20"/>
        </w:rPr>
      </w:pPr>
      <w:r w:rsidRPr="000C1943">
        <w:rPr>
          <w:rFonts w:hint="cs"/>
          <w:sz w:val="20"/>
          <w:szCs w:val="20"/>
          <w:rtl/>
        </w:rPr>
        <w:t>ר”ן על הרי”ף מסכת מגילה יג ע"ב (בדפי הרי”ף) </w:t>
      </w:r>
    </w:p>
    <w:p w14:paraId="1430A793" w14:textId="72E3CEC0" w:rsidR="00A65FB0" w:rsidRPr="00922BF6" w:rsidRDefault="00A65FB0" w:rsidP="002C40E1">
      <w:pPr>
        <w:spacing w:after="0" w:line="240" w:lineRule="auto"/>
        <w:ind w:left="720"/>
        <w:rPr>
          <w:sz w:val="20"/>
          <w:szCs w:val="20"/>
          <w:rtl/>
        </w:rPr>
      </w:pPr>
      <w:r w:rsidRPr="000C1943">
        <w:rPr>
          <w:rFonts w:hint="cs"/>
          <w:sz w:val="20"/>
          <w:szCs w:val="20"/>
          <w:rtl/>
        </w:rPr>
        <w:t>הני מילי כולהו אסמכתא דרבנן נינהו דסדר תפלה גופה דרבנן:</w:t>
      </w:r>
    </w:p>
  </w:footnote>
  <w:footnote w:id="8">
    <w:p w14:paraId="2999711E" w14:textId="77777777" w:rsidR="00A65FB0" w:rsidRPr="000C1943" w:rsidRDefault="00A65FB0" w:rsidP="002C40E1">
      <w:pPr>
        <w:spacing w:after="0" w:line="240" w:lineRule="auto"/>
        <w:jc w:val="both"/>
        <w:rPr>
          <w:sz w:val="20"/>
          <w:szCs w:val="20"/>
        </w:rPr>
      </w:pPr>
      <w:r w:rsidRPr="000C1943">
        <w:rPr>
          <w:sz w:val="20"/>
          <w:szCs w:val="20"/>
          <w:vertAlign w:val="superscript"/>
        </w:rPr>
        <w:footnoteRef/>
      </w:r>
      <w:r w:rsidRPr="000C1943">
        <w:rPr>
          <w:sz w:val="20"/>
          <w:szCs w:val="20"/>
          <w:vertAlign w:val="superscript"/>
        </w:rPr>
        <w:t xml:space="preserve"> </w:t>
      </w:r>
      <w:r w:rsidRPr="000C1943">
        <w:rPr>
          <w:rFonts w:hint="cs"/>
          <w:sz w:val="20"/>
          <w:szCs w:val="20"/>
          <w:rtl/>
        </w:rPr>
        <w:t>סנהדרין עד ע"א – עד ע"ב </w:t>
      </w:r>
    </w:p>
    <w:p w14:paraId="449DB322" w14:textId="287F8075" w:rsidR="00A65FB0" w:rsidRPr="00922BF6" w:rsidRDefault="00A65FB0" w:rsidP="002C40E1">
      <w:pPr>
        <w:spacing w:after="0" w:line="240" w:lineRule="auto"/>
        <w:ind w:left="720"/>
        <w:jc w:val="both"/>
        <w:rPr>
          <w:sz w:val="20"/>
          <w:szCs w:val="20"/>
          <w:rtl/>
        </w:rPr>
      </w:pPr>
      <w:r w:rsidRPr="000C1943">
        <w:rPr>
          <w:rFonts w:hint="cs"/>
          <w:sz w:val="20"/>
          <w:szCs w:val="20"/>
          <w:rtl/>
        </w:rPr>
        <w:t>כל עבירות שבתורה אם אומרין לאדם עבור ואל תהרג – יעבור ואל יהרג, חוץ מעבודה זרה וגילוי עריות ושפיכות דמים…יכול אפילו בפרהסיא – תלמוד לומר ולא תחללו את שם קדשי ונקדשתי. וכמה פרהסיא? אמר רבי יעקב אמר רבי יוחנן: אין פרהסיא פחותה מעשרה…תא שמע, דתני רב ינאי אחוה דרבי חייא בר אבא: אתיא תוך תוך, כתיב הכא ונקדשתי בתוך בני ישראל וכתיב התם הבדלו מתוך העדה הזאת. מה להלן עשרה וכולהו ישראל, אף כאן עשרה וכולהו ישראל.</w:t>
      </w:r>
    </w:p>
  </w:footnote>
  <w:footnote w:id="9">
    <w:p w14:paraId="1236ECF4" w14:textId="72BAB19E"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סוג </w:t>
      </w:r>
      <w:r w:rsidRPr="00922BF6">
        <w:rPr>
          <w:rFonts w:hint="cs"/>
          <w:rtl/>
        </w:rPr>
        <w:t>זה של גזירה שווה בדרך כלל מופיע כשלב אחד. יש צורך בשתי מילים זהות או משורש זהה המופיע בשני פסוקים נפרדים, ומשתמשים בהקבלה ביניהם כדי להחיל עקרונות הלכתיים מפסוק אחד לשני.</w:t>
      </w:r>
    </w:p>
  </w:footnote>
  <w:footnote w:id="10">
    <w:p w14:paraId="756F139B" w14:textId="77777777" w:rsidR="00A65FB0" w:rsidRPr="000C1943" w:rsidRDefault="00A65FB0" w:rsidP="002C40E1">
      <w:pPr>
        <w:spacing w:after="0" w:line="240" w:lineRule="auto"/>
        <w:rPr>
          <w:sz w:val="20"/>
          <w:szCs w:val="20"/>
        </w:rPr>
      </w:pPr>
      <w:r w:rsidRPr="000C1943">
        <w:rPr>
          <w:sz w:val="20"/>
          <w:szCs w:val="20"/>
          <w:vertAlign w:val="superscript"/>
        </w:rPr>
        <w:footnoteRef/>
      </w:r>
      <w:r w:rsidRPr="000C1943">
        <w:rPr>
          <w:sz w:val="20"/>
          <w:szCs w:val="20"/>
          <w:vertAlign w:val="superscript"/>
        </w:rPr>
        <w:t xml:space="preserve"> </w:t>
      </w:r>
      <w:r w:rsidRPr="000C1943">
        <w:rPr>
          <w:rFonts w:hint="cs"/>
          <w:sz w:val="20"/>
          <w:szCs w:val="20"/>
          <w:rtl/>
        </w:rPr>
        <w:t>[רבינו] בחיי ויקרא פרק כב </w:t>
      </w:r>
    </w:p>
    <w:p w14:paraId="5E0A501A" w14:textId="4CAFD521" w:rsidR="000C1943" w:rsidRPr="00922BF6" w:rsidRDefault="00A65FB0" w:rsidP="002C40E1">
      <w:pPr>
        <w:spacing w:after="0" w:line="240" w:lineRule="auto"/>
        <w:ind w:left="720"/>
        <w:rPr>
          <w:sz w:val="20"/>
          <w:szCs w:val="20"/>
          <w:rtl/>
        </w:rPr>
      </w:pPr>
      <w:r w:rsidRPr="000C1943">
        <w:rPr>
          <w:rFonts w:hint="cs"/>
          <w:sz w:val="20"/>
          <w:szCs w:val="20"/>
          <w:rtl/>
        </w:rPr>
        <w:t>ועכשיו יביא ראיה מעשרה אחי יוסף שהיו צדיקים לדבר שבקדושה.</w:t>
      </w:r>
    </w:p>
  </w:footnote>
  <w:footnote w:id="11">
    <w:p w14:paraId="3366A1CE" w14:textId="10902B1B"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במקרים </w:t>
      </w:r>
      <w:r w:rsidRPr="00922BF6">
        <w:rPr>
          <w:rFonts w:hint="cs"/>
          <w:rtl/>
        </w:rPr>
        <w:t>מסוימים, ההעדפה למספר עשר עשויה להיות רק בעבור ייצוג של קבוצה גדולה מספיק שתיחשב כציבור, כפי שפוסקי הלכה מדברים על העדפה של עשרה אנשים בהדלקת נרות חנוכה בבית כנסת. במקרים כאלה, ייתכן שנשים גם ייספרו כחלק מהעשרה. ראו, לדוגמה, את הבן איש חי:</w:t>
      </w:r>
    </w:p>
    <w:p w14:paraId="035A3A06" w14:textId="77777777" w:rsidR="00A65FB0" w:rsidRPr="000C1943" w:rsidRDefault="00A65FB0" w:rsidP="002C40E1">
      <w:pPr>
        <w:spacing w:after="0" w:line="240" w:lineRule="auto"/>
        <w:jc w:val="both"/>
        <w:rPr>
          <w:sz w:val="20"/>
          <w:szCs w:val="20"/>
        </w:rPr>
      </w:pPr>
      <w:r w:rsidRPr="000C1943">
        <w:rPr>
          <w:rFonts w:hint="cs"/>
          <w:sz w:val="20"/>
          <w:szCs w:val="20"/>
          <w:rtl/>
        </w:rPr>
        <w:t>שו”ת רב פעלים חלק ב – אורח חיים סימן סב </w:t>
      </w:r>
    </w:p>
    <w:p w14:paraId="3770B805" w14:textId="77777777" w:rsidR="00A65FB0" w:rsidRPr="00922BF6" w:rsidRDefault="00A65FB0" w:rsidP="002C40E1">
      <w:pPr>
        <w:spacing w:after="0" w:line="240" w:lineRule="auto"/>
        <w:ind w:left="720"/>
        <w:jc w:val="both"/>
        <w:rPr>
          <w:sz w:val="20"/>
          <w:szCs w:val="20"/>
          <w:rtl/>
        </w:rPr>
      </w:pPr>
      <w:r w:rsidRPr="000C1943">
        <w:rPr>
          <w:rFonts w:hint="cs"/>
          <w:sz w:val="20"/>
          <w:szCs w:val="20"/>
          <w:rtl/>
        </w:rPr>
        <w:t>בדין נ”ח [=נר חנכה], דמדליקין ומברכין בבית הכנסת משום פרסומי ניסא… בנירות חנוכה, די”ל [=דיש לומר] מהני צירוף נשים בעבור פרסום הנס</w:t>
      </w:r>
    </w:p>
  </w:footnote>
  <w:footnote w:id="12">
    <w:p w14:paraId="79C09BBC" w14:textId="0C2D7252"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יש </w:t>
      </w:r>
      <w:r w:rsidRPr="00922BF6">
        <w:rPr>
          <w:rFonts w:hint="cs"/>
          <w:rtl/>
        </w:rPr>
        <w:t xml:space="preserve">אזכור מפורש לכך כבר בתקופת הגאונים. ראו, לדוגמה, את סידור רב סעדיה גאון, אשר ניתן למצוא </w:t>
      </w:r>
      <w:hyperlink r:id="rId2" w:history="1">
        <w:r w:rsidRPr="00605DD5">
          <w:rPr>
            <w:rStyle w:val="Hyperlink"/>
            <w:rFonts w:hint="cs"/>
            <w:rtl/>
          </w:rPr>
          <w:t>כאן</w:t>
        </w:r>
      </w:hyperlink>
      <w:r w:rsidRPr="00922BF6">
        <w:rPr>
          <w:rFonts w:hint="cs"/>
          <w:rtl/>
        </w:rPr>
        <w:t>.</w:t>
      </w:r>
    </w:p>
    <w:p w14:paraId="6D23877C" w14:textId="77777777" w:rsidR="00A65FB0" w:rsidRPr="000C1943" w:rsidRDefault="00A65FB0" w:rsidP="002C40E1">
      <w:pPr>
        <w:spacing w:after="0" w:line="240" w:lineRule="auto"/>
        <w:jc w:val="both"/>
      </w:pPr>
      <w:r w:rsidRPr="000C1943">
        <w:rPr>
          <w:rFonts w:hint="cs"/>
          <w:rtl/>
        </w:rPr>
        <w:t>סדור רב סעדיה גאון </w:t>
      </w:r>
    </w:p>
    <w:p w14:paraId="07119A8F" w14:textId="77777777" w:rsidR="00A65FB0" w:rsidRPr="00922BF6" w:rsidRDefault="00A65FB0" w:rsidP="002C40E1">
      <w:pPr>
        <w:spacing w:after="0" w:line="240" w:lineRule="auto"/>
        <w:ind w:left="720"/>
        <w:jc w:val="both"/>
        <w:rPr>
          <w:sz w:val="20"/>
          <w:szCs w:val="20"/>
          <w:rtl/>
        </w:rPr>
      </w:pPr>
      <w:r w:rsidRPr="000C1943">
        <w:rPr>
          <w:rFonts w:hint="cs"/>
          <w:rtl/>
        </w:rPr>
        <w:t>ושיעור הציבור הוא עשרה גברים שהגיעו לפרקם</w:t>
      </w:r>
    </w:p>
  </w:footnote>
  <w:footnote w:id="13">
    <w:p w14:paraId="7CC10016" w14:textId="2281A4CC"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ראו </w:t>
      </w:r>
      <w:r w:rsidRPr="00922BF6">
        <w:rPr>
          <w:rFonts w:hint="cs"/>
          <w:rtl/>
        </w:rPr>
        <w:t xml:space="preserve">פרימר, "נשים ומניין", </w:t>
      </w:r>
      <w:r w:rsidRPr="00922BF6">
        <w:t>Tradition</w:t>
      </w:r>
      <w:r w:rsidRPr="00922BF6">
        <w:rPr>
          <w:rFonts w:hint="cs"/>
          <w:rtl/>
        </w:rPr>
        <w:t xml:space="preserve"> 24:4, הערה 63, למקורות ולהסברים נוספים.</w:t>
      </w:r>
    </w:p>
  </w:footnote>
  <w:footnote w:id="14">
    <w:p w14:paraId="78D60F4D" w14:textId="77777777" w:rsidR="00A65FB0" w:rsidRPr="000C1943" w:rsidRDefault="00A65FB0" w:rsidP="002C40E1">
      <w:pPr>
        <w:spacing w:after="0" w:line="240" w:lineRule="auto"/>
        <w:jc w:val="both"/>
        <w:rPr>
          <w:sz w:val="20"/>
          <w:szCs w:val="20"/>
        </w:rPr>
      </w:pPr>
      <w:r w:rsidRPr="000C1943">
        <w:rPr>
          <w:sz w:val="20"/>
          <w:szCs w:val="20"/>
          <w:vertAlign w:val="superscript"/>
        </w:rPr>
        <w:footnoteRef/>
      </w:r>
      <w:r w:rsidRPr="000C1943">
        <w:rPr>
          <w:sz w:val="20"/>
          <w:szCs w:val="20"/>
          <w:vertAlign w:val="superscript"/>
        </w:rPr>
        <w:t xml:space="preserve"> </w:t>
      </w:r>
      <w:r w:rsidRPr="000C1943">
        <w:rPr>
          <w:rFonts w:hint="cs"/>
          <w:sz w:val="20"/>
          <w:szCs w:val="20"/>
          <w:rtl/>
        </w:rPr>
        <w:t>אורחות חיים חלק א הלכות תפלה אות עה </w:t>
      </w:r>
    </w:p>
    <w:p w14:paraId="30BE432F" w14:textId="70D630C9" w:rsidR="00A65FB0" w:rsidRPr="00922BF6" w:rsidRDefault="00A65FB0" w:rsidP="002C40E1">
      <w:pPr>
        <w:spacing w:after="0" w:line="240" w:lineRule="auto"/>
        <w:jc w:val="both"/>
        <w:rPr>
          <w:sz w:val="20"/>
          <w:szCs w:val="20"/>
          <w:rtl/>
        </w:rPr>
      </w:pPr>
      <w:r w:rsidRPr="000C1943">
        <w:rPr>
          <w:rFonts w:hint="cs"/>
          <w:sz w:val="20"/>
          <w:szCs w:val="20"/>
          <w:rtl/>
        </w:rPr>
        <w:t>וצריך שיהיו כלם אנשים ולא יהיה מהמנין נשים שנא[מר] ונקדשתי בתוך בני ישראל ולא בנות ישראל:</w:t>
      </w:r>
    </w:p>
  </w:footnote>
  <w:footnote w:id="15">
    <w:p w14:paraId="66A83579" w14:textId="629BE592"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ראו הערה 8 לעיל.</w:t>
      </w:r>
    </w:p>
  </w:footnote>
  <w:footnote w:id="16">
    <w:p w14:paraId="1C834F8E" w14:textId="77777777" w:rsidR="00A65FB0" w:rsidRPr="0090101A" w:rsidRDefault="00A65FB0" w:rsidP="002C40E1">
      <w:pPr>
        <w:spacing w:after="0" w:line="240" w:lineRule="auto"/>
        <w:jc w:val="both"/>
        <w:rPr>
          <w:sz w:val="20"/>
          <w:szCs w:val="20"/>
        </w:rPr>
      </w:pPr>
      <w:r w:rsidRPr="0090101A">
        <w:rPr>
          <w:sz w:val="20"/>
          <w:szCs w:val="20"/>
          <w:vertAlign w:val="superscript"/>
        </w:rPr>
        <w:footnoteRef/>
      </w:r>
      <w:r w:rsidRPr="0090101A">
        <w:rPr>
          <w:sz w:val="20"/>
          <w:szCs w:val="20"/>
        </w:rPr>
        <w:t xml:space="preserve"> </w:t>
      </w:r>
      <w:r w:rsidRPr="0090101A">
        <w:rPr>
          <w:rFonts w:hint="cs"/>
          <w:sz w:val="20"/>
          <w:szCs w:val="20"/>
          <w:rtl/>
        </w:rPr>
        <w:t>פתחי תשובה יורה דעה קנז, ז </w:t>
      </w:r>
    </w:p>
    <w:p w14:paraId="748FCCDB" w14:textId="77777777" w:rsidR="00A65FB0" w:rsidRPr="00922BF6" w:rsidRDefault="00A65FB0" w:rsidP="002C40E1">
      <w:pPr>
        <w:spacing w:after="0" w:line="240" w:lineRule="auto"/>
        <w:jc w:val="both"/>
        <w:rPr>
          <w:sz w:val="20"/>
          <w:szCs w:val="20"/>
          <w:rtl/>
        </w:rPr>
      </w:pPr>
      <w:r w:rsidRPr="0090101A">
        <w:rPr>
          <w:rFonts w:hint="cs"/>
          <w:sz w:val="20"/>
          <w:szCs w:val="20"/>
          <w:rtl/>
        </w:rPr>
        <w:t>וגם בענין אם נשים מצטרפות לזה או נימא דאימעטו מבני ישראל ולא בנות ישראל ולכאורה נראה דדוקא ישראל ולא גרים כדאיתא במסכת סוטה דף כ”ו ע”א דבני ישראל משמע למעוטי גרים והכא כתיב ונקדשתי בתוך בני ישראל ושמא גם הכא יש איזה ריבוי:</w:t>
      </w:r>
    </w:p>
  </w:footnote>
  <w:footnote w:id="17">
    <w:p w14:paraId="4BB2D855" w14:textId="77777777" w:rsidR="00A65FB0" w:rsidRPr="0090101A" w:rsidRDefault="00A65FB0" w:rsidP="002C40E1">
      <w:pPr>
        <w:spacing w:after="0" w:line="240" w:lineRule="auto"/>
        <w:jc w:val="both"/>
        <w:rPr>
          <w:sz w:val="20"/>
          <w:szCs w:val="20"/>
        </w:rPr>
      </w:pPr>
      <w:r w:rsidRPr="0090101A">
        <w:rPr>
          <w:sz w:val="20"/>
          <w:szCs w:val="20"/>
          <w:vertAlign w:val="superscript"/>
        </w:rPr>
        <w:footnoteRef/>
      </w:r>
      <w:r w:rsidRPr="0090101A">
        <w:rPr>
          <w:sz w:val="20"/>
          <w:szCs w:val="20"/>
        </w:rPr>
        <w:t xml:space="preserve"> </w:t>
      </w:r>
      <w:r w:rsidRPr="0090101A">
        <w:rPr>
          <w:rFonts w:hint="cs"/>
          <w:sz w:val="20"/>
          <w:szCs w:val="20"/>
          <w:rtl/>
        </w:rPr>
        <w:t>שו”ת רדב”ז חלק ד סימן צב </w:t>
      </w:r>
    </w:p>
    <w:p w14:paraId="27220893" w14:textId="77777777" w:rsidR="00A65FB0" w:rsidRPr="0090101A" w:rsidRDefault="00A65FB0" w:rsidP="002C40E1">
      <w:pPr>
        <w:spacing w:after="0" w:line="240" w:lineRule="auto"/>
        <w:jc w:val="both"/>
        <w:rPr>
          <w:sz w:val="20"/>
          <w:szCs w:val="20"/>
          <w:rtl/>
        </w:rPr>
      </w:pPr>
      <w:r w:rsidRPr="0090101A">
        <w:rPr>
          <w:rFonts w:hint="cs"/>
          <w:sz w:val="20"/>
          <w:szCs w:val="20"/>
          <w:rtl/>
        </w:rPr>
        <w:t>ופי[רוש] בפרהסיא כגון דידעי י’ מישראל בדבר אף על גב דלא הוו בשעת מעשה</w:t>
      </w:r>
    </w:p>
    <w:p w14:paraId="5FAFC51E" w14:textId="77777777" w:rsidR="00A65FB0" w:rsidRPr="0090101A" w:rsidRDefault="00A65FB0" w:rsidP="002C40E1">
      <w:pPr>
        <w:spacing w:after="0" w:line="240" w:lineRule="auto"/>
        <w:jc w:val="both"/>
        <w:rPr>
          <w:sz w:val="20"/>
          <w:szCs w:val="20"/>
        </w:rPr>
      </w:pPr>
      <w:r w:rsidRPr="0090101A">
        <w:rPr>
          <w:rFonts w:hint="cs"/>
          <w:sz w:val="20"/>
          <w:szCs w:val="20"/>
          <w:rtl/>
        </w:rPr>
        <w:t>שו”ת יביע אומר חלק ד – אורח חיים סימן ט </w:t>
      </w:r>
    </w:p>
    <w:p w14:paraId="752A084E" w14:textId="77777777" w:rsidR="00A65FB0" w:rsidRPr="0090101A" w:rsidRDefault="00A65FB0" w:rsidP="002C40E1">
      <w:pPr>
        <w:spacing w:after="0" w:line="240" w:lineRule="auto"/>
        <w:jc w:val="both"/>
        <w:rPr>
          <w:sz w:val="20"/>
          <w:szCs w:val="20"/>
          <w:rtl/>
        </w:rPr>
      </w:pPr>
      <w:r w:rsidRPr="0090101A">
        <w:rPr>
          <w:rFonts w:hint="cs"/>
          <w:sz w:val="20"/>
          <w:szCs w:val="20"/>
          <w:rtl/>
        </w:rPr>
        <w:t>…ולכאורה י”ל [=יש לומר] דשאני גבי דברים שבקדושה דבעינן שכל העשרה יהיו במעמד אחד… אבל גבי קידוש ה’ לא בעינן שיהיו במעמד אחד… אין לדמות דין קידוש ה’ לדברים שבקדושה, דהא אין הנשים מצטרפות לדברים שבקדושה.</w:t>
      </w:r>
    </w:p>
    <w:p w14:paraId="688D9491" w14:textId="77777777" w:rsidR="00A65FB0" w:rsidRPr="00922BF6" w:rsidRDefault="00A65FB0" w:rsidP="002C40E1">
      <w:pPr>
        <w:spacing w:after="0" w:line="240" w:lineRule="auto"/>
        <w:jc w:val="both"/>
        <w:rPr>
          <w:sz w:val="20"/>
          <w:szCs w:val="20"/>
          <w:rtl/>
        </w:rPr>
      </w:pPr>
      <w:r w:rsidRPr="00922BF6">
        <w:rPr>
          <w:rFonts w:hint="cs"/>
          <w:sz w:val="20"/>
          <w:szCs w:val="20"/>
          <w:rtl/>
        </w:rPr>
        <w:t>רב משה פיינשטיין, לעומת זאת, לא עושה את ההבחנה הזו:</w:t>
      </w:r>
    </w:p>
    <w:p w14:paraId="1A895ED0" w14:textId="77777777" w:rsidR="00A65FB0" w:rsidRPr="0090101A" w:rsidRDefault="00A65FB0" w:rsidP="002C40E1">
      <w:pPr>
        <w:spacing w:after="0" w:line="240" w:lineRule="auto"/>
        <w:jc w:val="both"/>
        <w:rPr>
          <w:sz w:val="20"/>
          <w:szCs w:val="20"/>
        </w:rPr>
      </w:pPr>
      <w:r w:rsidRPr="0090101A">
        <w:rPr>
          <w:rFonts w:hint="cs"/>
          <w:sz w:val="20"/>
          <w:szCs w:val="20"/>
          <w:rtl/>
        </w:rPr>
        <w:t>שו”ת אגרות משה אורח חיים חלק א סימן כג </w:t>
      </w:r>
    </w:p>
    <w:p w14:paraId="5F9B3F54" w14:textId="73C887D6" w:rsidR="00A65FB0" w:rsidRPr="00922BF6" w:rsidRDefault="00A65FB0" w:rsidP="002C40E1">
      <w:pPr>
        <w:spacing w:after="0" w:line="240" w:lineRule="auto"/>
        <w:ind w:left="720"/>
        <w:jc w:val="both"/>
        <w:rPr>
          <w:sz w:val="20"/>
          <w:szCs w:val="20"/>
          <w:rtl/>
        </w:rPr>
      </w:pPr>
      <w:r w:rsidRPr="0090101A">
        <w:rPr>
          <w:rFonts w:hint="cs"/>
          <w:sz w:val="20"/>
          <w:szCs w:val="20"/>
          <w:rtl/>
        </w:rPr>
        <w:t>כשם שקדוש השם ליהרג הוא מחוייב אף לפני עשרה כופרים ומומרים אם אף הם מישראל …א”כ [=אם כן] בהכרח שגם לענין לומר דברים שבקדושה מצטרפי.</w:t>
      </w:r>
    </w:p>
  </w:footnote>
  <w:footnote w:id="18">
    <w:p w14:paraId="5439AF71" w14:textId="5F7089AC"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נדון </w:t>
      </w:r>
      <w:r w:rsidRPr="00922BF6">
        <w:rPr>
          <w:rFonts w:hint="cs"/>
          <w:rtl/>
        </w:rPr>
        <w:t xml:space="preserve">בזימון במאמר קרוב. </w:t>
      </w:r>
    </w:p>
  </w:footnote>
  <w:footnote w:id="19">
    <w:p w14:paraId="568A37BC" w14:textId="7B5E8444"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רש"י </w:t>
      </w:r>
      <w:r w:rsidRPr="00922BF6">
        <w:rPr>
          <w:rFonts w:hint="cs"/>
          <w:rtl/>
        </w:rPr>
        <w:t>מבין את הגמרא כמביעה הפתעה מכך שנשים יכולות לערוך זימון מרצון, על אף שאינן מחויבות בזימון. הבנה זו מיישמת את דברי התלמוד רק על עניין הזימון.</w:t>
      </w:r>
    </w:p>
  </w:footnote>
  <w:footnote w:id="20">
    <w:p w14:paraId="3AC9CB59" w14:textId="77777777"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הסבר </w:t>
      </w:r>
      <w:r w:rsidRPr="00922BF6">
        <w:rPr>
          <w:rFonts w:hint="cs"/>
          <w:rtl/>
        </w:rPr>
        <w:t xml:space="preserve">זה נתון במחלוקת. המגן אברהם, למשל, כותב את ההיפך. הביטוי "בני ישראל" יכול להתפרש כ"בנים של ישראל" או "הילדים של ישראל". בחלק מהמקרים, התורה מתיחסת לכל עם ישראל כקבוצה באמצעות ביטוי זה או ביטויים דומים לו, ולפעמים היא מפרידה באופן מפורש בין גברים ונשים. במקרים לא ברורים, כמו "בני ישראל" בפסוק על הקדושה, חז"ל בדרך כלל מגדירים משמעות אחת נכונה. הכללת נשים בביטוי כזה או אחר או אי הכללתן משתנה מפסוק לפסוק, תלוי בהקשר ובמסורת. הלבוש כאן מניח ש"בני" מתייחס רק לגברים, אך אחרים חולקים עליו, מה שמותיר את השאלה פתוחה. </w:t>
      </w:r>
    </w:p>
    <w:p w14:paraId="6A8AFA42" w14:textId="77777777" w:rsidR="00A65FB0" w:rsidRPr="0090101A" w:rsidRDefault="00A65FB0" w:rsidP="002C40E1">
      <w:pPr>
        <w:spacing w:after="0" w:line="240" w:lineRule="auto"/>
        <w:jc w:val="both"/>
        <w:rPr>
          <w:sz w:val="20"/>
          <w:szCs w:val="20"/>
        </w:rPr>
      </w:pPr>
      <w:r w:rsidRPr="0090101A">
        <w:rPr>
          <w:rFonts w:hint="cs"/>
          <w:sz w:val="20"/>
          <w:szCs w:val="20"/>
          <w:rtl/>
        </w:rPr>
        <w:t>מגן אברהם סימן מו, ט </w:t>
      </w:r>
    </w:p>
    <w:p w14:paraId="1E070A3E" w14:textId="2A160B7F" w:rsidR="00A65FB0" w:rsidRPr="00922BF6" w:rsidRDefault="00A65FB0" w:rsidP="002C40E1">
      <w:pPr>
        <w:spacing w:after="0" w:line="240" w:lineRule="auto"/>
        <w:ind w:left="720"/>
        <w:jc w:val="both"/>
        <w:rPr>
          <w:sz w:val="20"/>
          <w:szCs w:val="20"/>
          <w:rtl/>
        </w:rPr>
      </w:pPr>
      <w:r w:rsidRPr="0090101A">
        <w:rPr>
          <w:rFonts w:hint="cs"/>
          <w:sz w:val="20"/>
          <w:szCs w:val="20"/>
          <w:rtl/>
        </w:rPr>
        <w:t>דכל התורה נאמרה בלשון זכר ואפ”ה [ואפילו הכי] אשה בכלל …</w:t>
      </w:r>
    </w:p>
  </w:footnote>
  <w:footnote w:id="21">
    <w:p w14:paraId="083E378A" w14:textId="039C71A1"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ניתן </w:t>
      </w:r>
      <w:r w:rsidRPr="00922BF6">
        <w:rPr>
          <w:rFonts w:hint="cs"/>
          <w:rtl/>
        </w:rPr>
        <w:t xml:space="preserve">למצוא </w:t>
      </w:r>
      <w:hyperlink r:id="rId3" w:history="1">
        <w:r w:rsidRPr="00605DD5">
          <w:rPr>
            <w:rStyle w:val="Hyperlink"/>
            <w:rFonts w:hint="cs"/>
            <w:rtl/>
          </w:rPr>
          <w:t>כאן</w:t>
        </w:r>
      </w:hyperlink>
      <w:r w:rsidRPr="00922BF6">
        <w:rPr>
          <w:u w:val="single"/>
        </w:rPr>
        <w:t>.</w:t>
      </w:r>
    </w:p>
  </w:footnote>
  <w:footnote w:id="22">
    <w:p w14:paraId="727BA819" w14:textId="250E3F16" w:rsidR="00A65FB0" w:rsidRPr="00922BF6" w:rsidRDefault="00A65FB0" w:rsidP="002C40E1">
      <w:pPr>
        <w:pStyle w:val="FootnoteText"/>
        <w:jc w:val="both"/>
        <w:rPr>
          <w:rtl/>
        </w:rPr>
      </w:pPr>
      <w:r w:rsidRPr="00922BF6">
        <w:rPr>
          <w:rStyle w:val="FootnoteReference"/>
        </w:rPr>
        <w:footnoteRef/>
      </w:r>
      <w:r w:rsidRPr="00922BF6">
        <w:t xml:space="preserve"> </w:t>
      </w:r>
      <w:r w:rsidRPr="00922BF6">
        <w:rPr>
          <w:rFonts w:hint="cs"/>
          <w:rtl/>
        </w:rPr>
        <w:t xml:space="preserve">ניתן למצוא </w:t>
      </w:r>
      <w:hyperlink r:id="rId4" w:history="1">
        <w:r w:rsidRPr="00605DD5">
          <w:rPr>
            <w:rStyle w:val="Hyperlink"/>
            <w:rFonts w:hint="cs"/>
            <w:rtl/>
          </w:rPr>
          <w:t>כאן</w:t>
        </w:r>
      </w:hyperlink>
      <w:r w:rsidRPr="00922BF6">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2"/>
  </w:num>
  <w:num w:numId="2" w16cid:durableId="1076905192">
    <w:abstractNumId w:val="1"/>
  </w:num>
  <w:num w:numId="3" w16cid:durableId="911433085">
    <w:abstractNumId w:val="0"/>
  </w:num>
  <w:num w:numId="4" w16cid:durableId="1237516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1943"/>
    <w:rsid w:val="000C5F18"/>
    <w:rsid w:val="000D5F84"/>
    <w:rsid w:val="000D63F4"/>
    <w:rsid w:val="000E779A"/>
    <w:rsid w:val="000E7DB8"/>
    <w:rsid w:val="00103FF0"/>
    <w:rsid w:val="00112B2B"/>
    <w:rsid w:val="00112DA6"/>
    <w:rsid w:val="001148E3"/>
    <w:rsid w:val="00125D3A"/>
    <w:rsid w:val="001315CF"/>
    <w:rsid w:val="00143096"/>
    <w:rsid w:val="00155113"/>
    <w:rsid w:val="00161DB5"/>
    <w:rsid w:val="0016266D"/>
    <w:rsid w:val="0016614E"/>
    <w:rsid w:val="0017221F"/>
    <w:rsid w:val="00172F09"/>
    <w:rsid w:val="0018508B"/>
    <w:rsid w:val="00190518"/>
    <w:rsid w:val="001B14F8"/>
    <w:rsid w:val="001C72E8"/>
    <w:rsid w:val="001D1A5A"/>
    <w:rsid w:val="001D3ACD"/>
    <w:rsid w:val="001F12B2"/>
    <w:rsid w:val="00202D06"/>
    <w:rsid w:val="00223762"/>
    <w:rsid w:val="00230779"/>
    <w:rsid w:val="002351E6"/>
    <w:rsid w:val="00237AB7"/>
    <w:rsid w:val="002401BF"/>
    <w:rsid w:val="00245611"/>
    <w:rsid w:val="0024743A"/>
    <w:rsid w:val="00247630"/>
    <w:rsid w:val="002805D4"/>
    <w:rsid w:val="00284D2C"/>
    <w:rsid w:val="00285DA0"/>
    <w:rsid w:val="00290BC6"/>
    <w:rsid w:val="00295724"/>
    <w:rsid w:val="002B4276"/>
    <w:rsid w:val="002B5B96"/>
    <w:rsid w:val="002C40E1"/>
    <w:rsid w:val="002E28BA"/>
    <w:rsid w:val="002E4F78"/>
    <w:rsid w:val="002E5BBA"/>
    <w:rsid w:val="002F46CF"/>
    <w:rsid w:val="00311076"/>
    <w:rsid w:val="00314113"/>
    <w:rsid w:val="00324955"/>
    <w:rsid w:val="00331E1C"/>
    <w:rsid w:val="00332404"/>
    <w:rsid w:val="00334614"/>
    <w:rsid w:val="0033656B"/>
    <w:rsid w:val="00344CC2"/>
    <w:rsid w:val="003472E5"/>
    <w:rsid w:val="003502E8"/>
    <w:rsid w:val="00355D5F"/>
    <w:rsid w:val="003630FE"/>
    <w:rsid w:val="00366173"/>
    <w:rsid w:val="0037017A"/>
    <w:rsid w:val="00370B25"/>
    <w:rsid w:val="0037256F"/>
    <w:rsid w:val="00375646"/>
    <w:rsid w:val="00377BDD"/>
    <w:rsid w:val="00384128"/>
    <w:rsid w:val="003931CC"/>
    <w:rsid w:val="003944CC"/>
    <w:rsid w:val="003969DF"/>
    <w:rsid w:val="003A27C9"/>
    <w:rsid w:val="003B189F"/>
    <w:rsid w:val="003D6AFD"/>
    <w:rsid w:val="003E5099"/>
    <w:rsid w:val="003F20B6"/>
    <w:rsid w:val="003F2F56"/>
    <w:rsid w:val="003F5B9D"/>
    <w:rsid w:val="003F79CB"/>
    <w:rsid w:val="004010E0"/>
    <w:rsid w:val="00402B0A"/>
    <w:rsid w:val="00406ABA"/>
    <w:rsid w:val="0041175E"/>
    <w:rsid w:val="00412529"/>
    <w:rsid w:val="004156C0"/>
    <w:rsid w:val="00423B45"/>
    <w:rsid w:val="00437605"/>
    <w:rsid w:val="0044024B"/>
    <w:rsid w:val="00455C80"/>
    <w:rsid w:val="00460011"/>
    <w:rsid w:val="00463147"/>
    <w:rsid w:val="00472BB1"/>
    <w:rsid w:val="00486946"/>
    <w:rsid w:val="00494590"/>
    <w:rsid w:val="0049761A"/>
    <w:rsid w:val="004A0135"/>
    <w:rsid w:val="004A2052"/>
    <w:rsid w:val="004A21AC"/>
    <w:rsid w:val="004A22D1"/>
    <w:rsid w:val="004A471C"/>
    <w:rsid w:val="004B5D00"/>
    <w:rsid w:val="004C70B2"/>
    <w:rsid w:val="004D1F26"/>
    <w:rsid w:val="004D2F6D"/>
    <w:rsid w:val="004D425E"/>
    <w:rsid w:val="004D71C9"/>
    <w:rsid w:val="004E0ACA"/>
    <w:rsid w:val="004E2616"/>
    <w:rsid w:val="004F7A3D"/>
    <w:rsid w:val="00503163"/>
    <w:rsid w:val="00504C45"/>
    <w:rsid w:val="00522A52"/>
    <w:rsid w:val="00526F6F"/>
    <w:rsid w:val="00533B89"/>
    <w:rsid w:val="005370CC"/>
    <w:rsid w:val="00544BF1"/>
    <w:rsid w:val="005520A8"/>
    <w:rsid w:val="00554998"/>
    <w:rsid w:val="00554D9C"/>
    <w:rsid w:val="0055732C"/>
    <w:rsid w:val="00567544"/>
    <w:rsid w:val="00584731"/>
    <w:rsid w:val="00584B84"/>
    <w:rsid w:val="005958B7"/>
    <w:rsid w:val="005A1BF3"/>
    <w:rsid w:val="005C75A8"/>
    <w:rsid w:val="005D4F7A"/>
    <w:rsid w:val="005E4257"/>
    <w:rsid w:val="005E56CE"/>
    <w:rsid w:val="005E5710"/>
    <w:rsid w:val="00605DD5"/>
    <w:rsid w:val="00606516"/>
    <w:rsid w:val="00622642"/>
    <w:rsid w:val="00626DD2"/>
    <w:rsid w:val="006369A2"/>
    <w:rsid w:val="0064365C"/>
    <w:rsid w:val="00653BB0"/>
    <w:rsid w:val="00656FAB"/>
    <w:rsid w:val="006572C3"/>
    <w:rsid w:val="00680FA9"/>
    <w:rsid w:val="006835D6"/>
    <w:rsid w:val="00686E9A"/>
    <w:rsid w:val="006A4F7C"/>
    <w:rsid w:val="006A6B9D"/>
    <w:rsid w:val="006A78E7"/>
    <w:rsid w:val="006B7B63"/>
    <w:rsid w:val="006D442D"/>
    <w:rsid w:val="006D790B"/>
    <w:rsid w:val="006E0828"/>
    <w:rsid w:val="006F6327"/>
    <w:rsid w:val="007101F4"/>
    <w:rsid w:val="007150E4"/>
    <w:rsid w:val="007201D9"/>
    <w:rsid w:val="007252CE"/>
    <w:rsid w:val="00726EF9"/>
    <w:rsid w:val="007474F4"/>
    <w:rsid w:val="00764F60"/>
    <w:rsid w:val="0076516D"/>
    <w:rsid w:val="00776C58"/>
    <w:rsid w:val="007832E4"/>
    <w:rsid w:val="00786189"/>
    <w:rsid w:val="007A49B9"/>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64DD7"/>
    <w:rsid w:val="00877358"/>
    <w:rsid w:val="00886D30"/>
    <w:rsid w:val="008A4F91"/>
    <w:rsid w:val="008B4164"/>
    <w:rsid w:val="008C422F"/>
    <w:rsid w:val="008D67F1"/>
    <w:rsid w:val="008E0D26"/>
    <w:rsid w:val="008F0062"/>
    <w:rsid w:val="008F1585"/>
    <w:rsid w:val="008F2F16"/>
    <w:rsid w:val="008F490A"/>
    <w:rsid w:val="0090101A"/>
    <w:rsid w:val="009011C7"/>
    <w:rsid w:val="00916BEF"/>
    <w:rsid w:val="0091710A"/>
    <w:rsid w:val="00922BF6"/>
    <w:rsid w:val="00934A64"/>
    <w:rsid w:val="0094594A"/>
    <w:rsid w:val="00952A77"/>
    <w:rsid w:val="00953CDD"/>
    <w:rsid w:val="00956B09"/>
    <w:rsid w:val="009604D0"/>
    <w:rsid w:val="00966563"/>
    <w:rsid w:val="0098013F"/>
    <w:rsid w:val="0098400C"/>
    <w:rsid w:val="00996298"/>
    <w:rsid w:val="009A5F10"/>
    <w:rsid w:val="009A5F11"/>
    <w:rsid w:val="009A6242"/>
    <w:rsid w:val="009C312C"/>
    <w:rsid w:val="009D0DC0"/>
    <w:rsid w:val="009D2F7C"/>
    <w:rsid w:val="009E1830"/>
    <w:rsid w:val="009E2050"/>
    <w:rsid w:val="00A07397"/>
    <w:rsid w:val="00A1016E"/>
    <w:rsid w:val="00A10213"/>
    <w:rsid w:val="00A2111C"/>
    <w:rsid w:val="00A247A4"/>
    <w:rsid w:val="00A314A9"/>
    <w:rsid w:val="00A31585"/>
    <w:rsid w:val="00A42529"/>
    <w:rsid w:val="00A54C07"/>
    <w:rsid w:val="00A65FB0"/>
    <w:rsid w:val="00A758DB"/>
    <w:rsid w:val="00A8602A"/>
    <w:rsid w:val="00AA4C75"/>
    <w:rsid w:val="00AB120D"/>
    <w:rsid w:val="00AB5B66"/>
    <w:rsid w:val="00AC7231"/>
    <w:rsid w:val="00AE332C"/>
    <w:rsid w:val="00AE6402"/>
    <w:rsid w:val="00AF63C4"/>
    <w:rsid w:val="00B07127"/>
    <w:rsid w:val="00B149B6"/>
    <w:rsid w:val="00B20989"/>
    <w:rsid w:val="00B35CB9"/>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B59ED"/>
    <w:rsid w:val="00CC1D24"/>
    <w:rsid w:val="00CC42F4"/>
    <w:rsid w:val="00CC6DA3"/>
    <w:rsid w:val="00CC787F"/>
    <w:rsid w:val="00CC7D19"/>
    <w:rsid w:val="00CD5F84"/>
    <w:rsid w:val="00CE0CDD"/>
    <w:rsid w:val="00D010EB"/>
    <w:rsid w:val="00D13E25"/>
    <w:rsid w:val="00D35E1E"/>
    <w:rsid w:val="00D4647E"/>
    <w:rsid w:val="00D55514"/>
    <w:rsid w:val="00D62E96"/>
    <w:rsid w:val="00D676C9"/>
    <w:rsid w:val="00D71ED1"/>
    <w:rsid w:val="00D915EE"/>
    <w:rsid w:val="00DB0D55"/>
    <w:rsid w:val="00DB68DA"/>
    <w:rsid w:val="00DB7039"/>
    <w:rsid w:val="00DD1315"/>
    <w:rsid w:val="00DE3B29"/>
    <w:rsid w:val="00DE41F4"/>
    <w:rsid w:val="00DF1426"/>
    <w:rsid w:val="00DF3C11"/>
    <w:rsid w:val="00E01852"/>
    <w:rsid w:val="00E056AA"/>
    <w:rsid w:val="00E12FEC"/>
    <w:rsid w:val="00E17589"/>
    <w:rsid w:val="00E25B0A"/>
    <w:rsid w:val="00E32696"/>
    <w:rsid w:val="00E45A48"/>
    <w:rsid w:val="00E621DB"/>
    <w:rsid w:val="00E6478C"/>
    <w:rsid w:val="00E66C59"/>
    <w:rsid w:val="00E80EE2"/>
    <w:rsid w:val="00EA662D"/>
    <w:rsid w:val="00EB473A"/>
    <w:rsid w:val="00EC1756"/>
    <w:rsid w:val="00EC2716"/>
    <w:rsid w:val="00ED495D"/>
    <w:rsid w:val="00ED61DE"/>
    <w:rsid w:val="00EE2B32"/>
    <w:rsid w:val="00EE4B76"/>
    <w:rsid w:val="00EE5B47"/>
    <w:rsid w:val="00EF1970"/>
    <w:rsid w:val="00F06E26"/>
    <w:rsid w:val="00F16FC3"/>
    <w:rsid w:val="00F306B1"/>
    <w:rsid w:val="00F33542"/>
    <w:rsid w:val="00F35C8C"/>
    <w:rsid w:val="00F404DD"/>
    <w:rsid w:val="00F52252"/>
    <w:rsid w:val="00F6171F"/>
    <w:rsid w:val="00F66ACD"/>
    <w:rsid w:val="00F71F27"/>
    <w:rsid w:val="00F76D48"/>
    <w:rsid w:val="00F835D1"/>
    <w:rsid w:val="00F842F4"/>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EF1970"/>
  </w:style>
  <w:style w:type="character" w:styleId="UnresolvedMention">
    <w:name w:val="Unresolved Mention"/>
    <w:basedOn w:val="DefaultParagraphFont"/>
    <w:uiPriority w:val="99"/>
    <w:semiHidden/>
    <w:unhideWhenUsed/>
    <w:rsid w:val="00584B84"/>
    <w:rPr>
      <w:color w:val="605E5C"/>
      <w:shd w:val="clear" w:color="auto" w:fill="E1DFDD"/>
    </w:rPr>
  </w:style>
  <w:style w:type="character" w:customStyle="1" w:styleId="views-field-name">
    <w:name w:val="views-field-name"/>
    <w:basedOn w:val="DefaultParagraphFont"/>
    <w:rsid w:val="000C1943"/>
  </w:style>
  <w:style w:type="character" w:customStyle="1" w:styleId="views-field-field-author">
    <w:name w:val="views-field-field-author"/>
    <w:basedOn w:val="DefaultParagraphFont"/>
    <w:rsid w:val="000C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8795">
      <w:bodyDiv w:val="1"/>
      <w:marLeft w:val="0"/>
      <w:marRight w:val="0"/>
      <w:marTop w:val="0"/>
      <w:marBottom w:val="0"/>
      <w:divBdr>
        <w:top w:val="none" w:sz="0" w:space="0" w:color="auto"/>
        <w:left w:val="none" w:sz="0" w:space="0" w:color="auto"/>
        <w:bottom w:val="none" w:sz="0" w:space="0" w:color="auto"/>
        <w:right w:val="none" w:sz="0" w:space="0" w:color="auto"/>
      </w:divBdr>
    </w:div>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ditiononline.org/women-and-miny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il/tefilla-1-chiyu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ebrewbooks.org/pdfpager.aspx?req=15251&amp;st=&amp;pgnum=73" TargetMode="External"/><Relationship Id="rId2" Type="http://schemas.openxmlformats.org/officeDocument/2006/relationships/hyperlink" Target="https://hebrewbooks.org/pdfpager.aspx?sits=1&amp;req=20685&amp;st=%u05D6%u05DB%u05E8%u05D9%u05DD&amp;_rnd=0.6051665865818916" TargetMode="External"/><Relationship Id="rId1" Type="http://schemas.openxmlformats.org/officeDocument/2006/relationships/hyperlink" Target="https://traditiononline.org/women-and-minyan/" TargetMode="External"/><Relationship Id="rId4" Type="http://schemas.openxmlformats.org/officeDocument/2006/relationships/hyperlink" Target="https://www.myjewishlearning.com/the-torch/two-women-make-a-qu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2882</Words>
  <Characters>16434</Characters>
  <Application>Microsoft Office Word</Application>
  <DocSecurity>0</DocSecurity>
  <Lines>136</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4</cp:revision>
  <dcterms:created xsi:type="dcterms:W3CDTF">2023-10-19T06:44:00Z</dcterms:created>
  <dcterms:modified xsi:type="dcterms:W3CDTF">2023-10-19T07:05:00Z</dcterms:modified>
</cp:coreProperties>
</file>