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B166" w14:textId="2FFC4477" w:rsidR="00FD2194" w:rsidRDefault="00FD2194" w:rsidP="002A321D"/>
    <w:p w14:paraId="01DEC37F" w14:textId="77777777" w:rsidR="00C17FC7" w:rsidRDefault="002A321D" w:rsidP="00C17FC7">
      <w:pPr>
        <w:jc w:val="center"/>
        <w:rPr>
          <w:b/>
          <w:bCs/>
          <w:sz w:val="36"/>
          <w:szCs w:val="36"/>
          <w:lang w:val="en-US"/>
        </w:rPr>
      </w:pPr>
      <w:r w:rsidRPr="007862AA">
        <w:rPr>
          <w:rFonts w:hint="cs"/>
          <w:b/>
          <w:bCs/>
          <w:sz w:val="36"/>
          <w:szCs w:val="36"/>
        </w:rPr>
        <w:t>D</w:t>
      </w:r>
      <w:r w:rsidRPr="007862AA">
        <w:rPr>
          <w:b/>
          <w:bCs/>
          <w:sz w:val="36"/>
          <w:szCs w:val="36"/>
          <w:lang w:val="en-US"/>
        </w:rPr>
        <w:t>airy Foods on Shavuot</w:t>
      </w:r>
      <w:r w:rsidR="00800BCE">
        <w:rPr>
          <w:rStyle w:val="FootnoteReference"/>
          <w:b/>
          <w:bCs/>
          <w:sz w:val="36"/>
          <w:szCs w:val="36"/>
          <w:lang w:val="en-US"/>
        </w:rPr>
        <w:footnoteReference w:id="1"/>
      </w:r>
    </w:p>
    <w:p w14:paraId="295E5340" w14:textId="4B366C1F" w:rsidR="002A321D" w:rsidRPr="00C17FC7" w:rsidRDefault="002A321D" w:rsidP="00C17FC7">
      <w:pPr>
        <w:rPr>
          <w:b/>
          <w:bCs/>
          <w:lang w:val="en-US"/>
        </w:rPr>
      </w:pPr>
      <w:r>
        <w:rPr>
          <w:lang w:val="en-US"/>
        </w:rPr>
        <w:t xml:space="preserve">An early Ashkenazic custom instructs us to eat dairy foods on </w:t>
      </w:r>
      <w:r>
        <w:rPr>
          <w:i/>
          <w:iCs/>
          <w:lang w:val="en-US"/>
        </w:rPr>
        <w:t>Shavuot</w:t>
      </w:r>
      <w:r>
        <w:rPr>
          <w:lang w:val="en-US"/>
        </w:rPr>
        <w:t>.</w:t>
      </w:r>
      <w:r w:rsidR="004F2C31">
        <w:rPr>
          <w:rStyle w:val="FootnoteReference"/>
          <w:lang w:val="en-US"/>
        </w:rPr>
        <w:footnoteReference w:id="2"/>
      </w:r>
      <w:r>
        <w:rPr>
          <w:lang w:val="en-US"/>
        </w:rPr>
        <w:t xml:space="preserve"> The origins of this custom are shrouded in mystery, and </w:t>
      </w:r>
      <w:r w:rsidR="004F2C31">
        <w:rPr>
          <w:lang w:val="en-US"/>
        </w:rPr>
        <w:t>hence</w:t>
      </w:r>
      <w:r>
        <w:rPr>
          <w:lang w:val="en-US"/>
        </w:rPr>
        <w:t xml:space="preserve"> we also lack a clear understanding of its purpose and meaning. Many suggestions, some quite creative, have been advanced </w:t>
      </w:r>
      <w:r w:rsidR="004F2C31">
        <w:rPr>
          <w:lang w:val="en-US"/>
        </w:rPr>
        <w:t>over the</w:t>
      </w:r>
      <w:r>
        <w:rPr>
          <w:lang w:val="en-US"/>
        </w:rPr>
        <w:t xml:space="preserve"> centuries in an attempt to understand the significance of this custom.</w:t>
      </w:r>
      <w:r w:rsidR="004F2C31">
        <w:rPr>
          <w:rStyle w:val="FootnoteReference"/>
          <w:lang w:val="en-US"/>
        </w:rPr>
        <w:footnoteReference w:id="3"/>
      </w:r>
    </w:p>
    <w:p w14:paraId="22AC7686" w14:textId="1E2040B6" w:rsidR="002A321D" w:rsidRDefault="002A321D" w:rsidP="002A321D">
      <w:pPr>
        <w:rPr>
          <w:lang w:val="en-US"/>
        </w:rPr>
      </w:pPr>
      <w:r>
        <w:rPr>
          <w:lang w:val="en-US"/>
        </w:rPr>
        <w:t xml:space="preserve">The </w:t>
      </w:r>
      <w:r>
        <w:rPr>
          <w:i/>
          <w:iCs/>
          <w:lang w:val="en-US"/>
        </w:rPr>
        <w:t>Kolbo</w:t>
      </w:r>
      <w:r w:rsidR="00DD6BB5" w:rsidRPr="00DD6BB5">
        <w:rPr>
          <w:rStyle w:val="FootnoteReference"/>
          <w:lang w:val="en-US"/>
        </w:rPr>
        <w:footnoteReference w:id="4"/>
      </w:r>
      <w:r w:rsidRPr="00DD6BB5">
        <w:rPr>
          <w:lang w:val="en-US"/>
        </w:rPr>
        <w:t xml:space="preserve"> </w:t>
      </w:r>
      <w:r w:rsidR="00DD6BB5">
        <w:rPr>
          <w:lang w:val="en-US"/>
        </w:rPr>
        <w:t>believes</w:t>
      </w:r>
      <w:r>
        <w:rPr>
          <w:lang w:val="en-US"/>
        </w:rPr>
        <w:t xml:space="preserve"> that the original custom was to eat honey and milk </w:t>
      </w:r>
      <w:r w:rsidR="00DD6BB5">
        <w:rPr>
          <w:lang w:val="en-US"/>
        </w:rPr>
        <w:t xml:space="preserve">together, </w:t>
      </w:r>
      <w:r>
        <w:rPr>
          <w:lang w:val="en-US"/>
        </w:rPr>
        <w:t>in honor of the giving of the Torah, which is compared to both of these foods: “</w:t>
      </w:r>
      <w:r w:rsidRPr="003A059A">
        <w:rPr>
          <w:lang w:val="en-US"/>
        </w:rPr>
        <w:t>Sweetness drops</w:t>
      </w:r>
      <w:r>
        <w:rPr>
          <w:lang w:val="en-US"/>
        </w:rPr>
        <w:t xml:space="preserve"> f</w:t>
      </w:r>
      <w:r w:rsidRPr="003A059A">
        <w:rPr>
          <w:lang w:val="en-US"/>
        </w:rPr>
        <w:t>rom your lips, O bride;</w:t>
      </w:r>
      <w:r>
        <w:rPr>
          <w:lang w:val="en-US"/>
        </w:rPr>
        <w:t xml:space="preserve"> h</w:t>
      </w:r>
      <w:r w:rsidRPr="003A059A">
        <w:rPr>
          <w:lang w:val="en-US"/>
        </w:rPr>
        <w:t>oney and milk</w:t>
      </w:r>
      <w:r>
        <w:rPr>
          <w:lang w:val="en-US"/>
        </w:rPr>
        <w:t xml:space="preserve"> a</w:t>
      </w:r>
      <w:r w:rsidRPr="003A059A">
        <w:rPr>
          <w:lang w:val="en-US"/>
        </w:rPr>
        <w:t>re under your tongue</w:t>
      </w:r>
      <w:r>
        <w:rPr>
          <w:lang w:val="en-US"/>
        </w:rPr>
        <w:t>” (</w:t>
      </w:r>
      <w:r>
        <w:rPr>
          <w:i/>
          <w:iCs/>
          <w:lang w:val="en-US"/>
        </w:rPr>
        <w:t xml:space="preserve">Shir HaShirim </w:t>
      </w:r>
      <w:r>
        <w:rPr>
          <w:lang w:val="en-US"/>
        </w:rPr>
        <w:t>4:11).</w:t>
      </w:r>
      <w:r w:rsidR="00DD6BB5">
        <w:rPr>
          <w:rStyle w:val="FootnoteReference"/>
          <w:lang w:val="en-US"/>
        </w:rPr>
        <w:footnoteReference w:id="5"/>
      </w:r>
      <w:r>
        <w:rPr>
          <w:lang w:val="en-US"/>
        </w:rPr>
        <w:t xml:space="preserve"> If this theory is correct, it seems that over the course of time the </w:t>
      </w:r>
      <w:r w:rsidR="00800BCE">
        <w:rPr>
          <w:lang w:val="en-US"/>
        </w:rPr>
        <w:t>custom</w:t>
      </w:r>
      <w:r>
        <w:rPr>
          <w:lang w:val="en-US"/>
        </w:rPr>
        <w:t xml:space="preserve"> of eating honey was dropped from </w:t>
      </w:r>
      <w:r>
        <w:rPr>
          <w:i/>
          <w:iCs/>
          <w:lang w:val="en-US"/>
        </w:rPr>
        <w:t xml:space="preserve">Shavuot </w:t>
      </w:r>
      <w:r>
        <w:rPr>
          <w:lang w:val="en-US"/>
        </w:rPr>
        <w:t xml:space="preserve">(perhaps “transferred” to </w:t>
      </w:r>
      <w:r>
        <w:rPr>
          <w:i/>
          <w:iCs/>
          <w:lang w:val="en-US"/>
        </w:rPr>
        <w:t>Rosh HaShana</w:t>
      </w:r>
      <w:r>
        <w:rPr>
          <w:lang w:val="en-US"/>
        </w:rPr>
        <w:t>), leaving us only with milk.</w:t>
      </w:r>
    </w:p>
    <w:p w14:paraId="4D4BB5F7" w14:textId="3DCCB2CA" w:rsidR="002A321D" w:rsidRDefault="002A321D" w:rsidP="002A321D">
      <w:pPr>
        <w:rPr>
          <w:lang w:val="en-US"/>
        </w:rPr>
      </w:pPr>
      <w:r>
        <w:rPr>
          <w:lang w:val="en-US"/>
        </w:rPr>
        <w:t xml:space="preserve">Noticing that, though, leads to an </w:t>
      </w:r>
      <w:r w:rsidR="00800BCE">
        <w:rPr>
          <w:lang w:val="en-US"/>
        </w:rPr>
        <w:t>interesting</w:t>
      </w:r>
      <w:r>
        <w:rPr>
          <w:lang w:val="en-US"/>
        </w:rPr>
        <w:t xml:space="preserve"> question: what does milk add to the image in the first place? The idea of using the sweetness of honey as a symbol for Torah is an ancient one, already expressed in the book of </w:t>
      </w:r>
      <w:r>
        <w:rPr>
          <w:i/>
          <w:iCs/>
          <w:lang w:val="en-US"/>
        </w:rPr>
        <w:t>Tehillim</w:t>
      </w:r>
      <w:r>
        <w:rPr>
          <w:lang w:val="en-US"/>
        </w:rPr>
        <w:t xml:space="preserve">: “God’s Torah is perfect…sweeter than honey or the drippings of the honeycomb” (19:8-11). </w:t>
      </w:r>
      <w:r w:rsidR="00800BCE">
        <w:rPr>
          <w:lang w:val="en-US"/>
        </w:rPr>
        <w:t xml:space="preserve">But if </w:t>
      </w:r>
      <w:r>
        <w:rPr>
          <w:lang w:val="en-US"/>
        </w:rPr>
        <w:t xml:space="preserve">we </w:t>
      </w:r>
      <w:r w:rsidR="00800BCE">
        <w:rPr>
          <w:lang w:val="en-US"/>
        </w:rPr>
        <w:t xml:space="preserve">already </w:t>
      </w:r>
      <w:r>
        <w:rPr>
          <w:lang w:val="en-US"/>
        </w:rPr>
        <w:t xml:space="preserve">have this symbol, what is added by introducing milk to the image? Assumedly the </w:t>
      </w:r>
      <w:r w:rsidR="00800BCE">
        <w:rPr>
          <w:lang w:val="en-US"/>
        </w:rPr>
        <w:t>idea</w:t>
      </w:r>
      <w:r>
        <w:rPr>
          <w:lang w:val="en-US"/>
        </w:rPr>
        <w:t xml:space="preserve"> is that milk is sweet and tasty, just like Torah. But of course, honey is even sweeter</w:t>
      </w:r>
      <w:r w:rsidR="00800BCE">
        <w:rPr>
          <w:lang w:val="en-US"/>
        </w:rPr>
        <w:t xml:space="preserve"> – </w:t>
      </w:r>
      <w:r>
        <w:rPr>
          <w:lang w:val="en-US"/>
        </w:rPr>
        <w:t>so why do</w:t>
      </w:r>
      <w:r w:rsidR="00800BCE">
        <w:rPr>
          <w:lang w:val="en-US"/>
        </w:rPr>
        <w:t>es</w:t>
      </w:r>
      <w:r>
        <w:rPr>
          <w:lang w:val="en-US"/>
        </w:rPr>
        <w:t xml:space="preserve"> milk </w:t>
      </w:r>
      <w:r w:rsidR="00800BCE">
        <w:rPr>
          <w:lang w:val="en-US"/>
        </w:rPr>
        <w:t>need to be</w:t>
      </w:r>
      <w:r>
        <w:rPr>
          <w:lang w:val="en-US"/>
        </w:rPr>
        <w:t xml:space="preserve"> part of the metaphor?</w:t>
      </w:r>
    </w:p>
    <w:p w14:paraId="6C90A2EA" w14:textId="3645B124" w:rsidR="002A321D" w:rsidRDefault="00800BCE" w:rsidP="002A321D">
      <w:pPr>
        <w:rPr>
          <w:lang w:val="en-US"/>
        </w:rPr>
      </w:pPr>
      <w:r>
        <w:rPr>
          <w:lang w:val="en-US"/>
        </w:rPr>
        <w:t>T</w:t>
      </w:r>
      <w:r w:rsidR="002A321D">
        <w:rPr>
          <w:lang w:val="en-US"/>
        </w:rPr>
        <w:t xml:space="preserve">here is a fundamental difference between milk and honey. Honey is very sweet, but </w:t>
      </w:r>
      <w:r>
        <w:rPr>
          <w:lang w:val="en-US"/>
        </w:rPr>
        <w:t>you</w:t>
      </w:r>
      <w:r w:rsidR="002A321D">
        <w:rPr>
          <w:lang w:val="en-US"/>
        </w:rPr>
        <w:t xml:space="preserve"> can’t really eat it. </w:t>
      </w:r>
      <w:r>
        <w:rPr>
          <w:lang w:val="en-US"/>
        </w:rPr>
        <w:t xml:space="preserve">On the other hand, </w:t>
      </w:r>
      <w:r w:rsidR="002A321D">
        <w:rPr>
          <w:lang w:val="en-US"/>
        </w:rPr>
        <w:t xml:space="preserve">milk, which is also sweet (although not as much as honey), is </w:t>
      </w:r>
      <w:r w:rsidR="002A321D">
        <w:rPr>
          <w:b/>
          <w:bCs/>
          <w:lang w:val="en-US"/>
        </w:rPr>
        <w:t xml:space="preserve">nourishing </w:t>
      </w:r>
      <w:r w:rsidR="002A321D" w:rsidRPr="00A41199">
        <w:rPr>
          <w:lang w:val="en-US"/>
        </w:rPr>
        <w:t>as well</w:t>
      </w:r>
      <w:r w:rsidR="002A321D">
        <w:rPr>
          <w:lang w:val="en-US"/>
        </w:rPr>
        <w:t xml:space="preserve">. And therefore, </w:t>
      </w:r>
      <w:r>
        <w:rPr>
          <w:lang w:val="en-US"/>
        </w:rPr>
        <w:t xml:space="preserve">maybe </w:t>
      </w:r>
      <w:r w:rsidR="002A321D">
        <w:rPr>
          <w:lang w:val="en-US"/>
        </w:rPr>
        <w:t xml:space="preserve">this is the reason that the Torah is compared to both honey and milk – honey symbolizes the </w:t>
      </w:r>
      <w:r w:rsidR="002A321D">
        <w:rPr>
          <w:b/>
          <w:bCs/>
          <w:lang w:val="en-US"/>
        </w:rPr>
        <w:t xml:space="preserve">pleasure </w:t>
      </w:r>
      <w:r w:rsidR="002A321D">
        <w:rPr>
          <w:lang w:val="en-US"/>
        </w:rPr>
        <w:t xml:space="preserve">of studying Torah, while milk symbolizes the </w:t>
      </w:r>
      <w:r w:rsidR="002A321D">
        <w:rPr>
          <w:b/>
          <w:bCs/>
          <w:lang w:val="en-US"/>
        </w:rPr>
        <w:t xml:space="preserve">benefit </w:t>
      </w:r>
      <w:r w:rsidR="002A321D">
        <w:rPr>
          <w:lang w:val="en-US"/>
        </w:rPr>
        <w:t>of doing so. We study Torah not only because we enjoy it (like tasting honey), but even more so because it gives us strength and direction, enabling us to devote our lives to the service of God. Indeed, Torah is sweeter than honey –</w:t>
      </w:r>
      <w:r>
        <w:rPr>
          <w:lang w:val="en-US"/>
        </w:rPr>
        <w:t xml:space="preserve"> </w:t>
      </w:r>
      <w:r w:rsidR="002A321D">
        <w:rPr>
          <w:lang w:val="en-US"/>
        </w:rPr>
        <w:t>but it is also nourishing and essential for healthy existence, like milk.</w:t>
      </w:r>
    </w:p>
    <w:p w14:paraId="03C6D137" w14:textId="0EEC7816" w:rsidR="002A321D" w:rsidRDefault="002A321D" w:rsidP="002A321D">
      <w:pPr>
        <w:rPr>
          <w:lang w:val="en-US"/>
        </w:rPr>
      </w:pPr>
      <w:r>
        <w:rPr>
          <w:lang w:val="en-US"/>
        </w:rPr>
        <w:t xml:space="preserve">There may </w:t>
      </w:r>
      <w:r w:rsidR="00800BCE">
        <w:rPr>
          <w:lang w:val="en-US"/>
        </w:rPr>
        <w:t xml:space="preserve">also </w:t>
      </w:r>
      <w:r>
        <w:rPr>
          <w:lang w:val="en-US"/>
        </w:rPr>
        <w:t xml:space="preserve">be another point to this analogy. To understand </w:t>
      </w:r>
      <w:r w:rsidR="00800BCE">
        <w:rPr>
          <w:lang w:val="en-US"/>
        </w:rPr>
        <w:t>it</w:t>
      </w:r>
      <w:r>
        <w:rPr>
          <w:lang w:val="en-US"/>
        </w:rPr>
        <w:t xml:space="preserve">, we must first give a brief explanation </w:t>
      </w:r>
      <w:r w:rsidR="00800BCE">
        <w:rPr>
          <w:lang w:val="en-US"/>
        </w:rPr>
        <w:t>of</w:t>
      </w:r>
      <w:r>
        <w:rPr>
          <w:lang w:val="en-US"/>
        </w:rPr>
        <w:t xml:space="preserve"> the nature of the </w:t>
      </w:r>
      <w:r>
        <w:rPr>
          <w:i/>
          <w:iCs/>
          <w:lang w:val="en-US"/>
        </w:rPr>
        <w:t>Shavuot</w:t>
      </w:r>
      <w:r>
        <w:rPr>
          <w:lang w:val="en-US"/>
        </w:rPr>
        <w:t xml:space="preserve"> Festival. Based on the words of our </w:t>
      </w:r>
      <w:r>
        <w:rPr>
          <w:i/>
          <w:iCs/>
          <w:lang w:val="en-US"/>
        </w:rPr>
        <w:t>siddur</w:t>
      </w:r>
      <w:r>
        <w:rPr>
          <w:lang w:val="en-US"/>
        </w:rPr>
        <w:t xml:space="preserve">, we </w:t>
      </w:r>
      <w:r w:rsidR="00800BCE">
        <w:rPr>
          <w:lang w:val="en-US"/>
        </w:rPr>
        <w:t>usually think</w:t>
      </w:r>
      <w:r>
        <w:rPr>
          <w:lang w:val="en-US"/>
        </w:rPr>
        <w:t xml:space="preserve"> about </w:t>
      </w:r>
      <w:r>
        <w:rPr>
          <w:i/>
          <w:iCs/>
          <w:lang w:val="en-US"/>
        </w:rPr>
        <w:t>Shavuot</w:t>
      </w:r>
      <w:r>
        <w:rPr>
          <w:lang w:val="en-US"/>
        </w:rPr>
        <w:t xml:space="preserve"> as </w:t>
      </w:r>
      <w:r>
        <w:rPr>
          <w:i/>
          <w:iCs/>
          <w:lang w:val="en-US"/>
        </w:rPr>
        <w:t>Zeman Matan Torateinu</w:t>
      </w:r>
      <w:r>
        <w:rPr>
          <w:lang w:val="en-US"/>
        </w:rPr>
        <w:t xml:space="preserve">, the commemoration of the giving of the Torah. Surprisingly, though, the Torah itself never says anything of the sort. </w:t>
      </w:r>
      <w:r w:rsidR="00800BCE">
        <w:rPr>
          <w:lang w:val="en-US"/>
        </w:rPr>
        <w:t>Al</w:t>
      </w:r>
      <w:r>
        <w:rPr>
          <w:lang w:val="en-US"/>
        </w:rPr>
        <w:t xml:space="preserve">though it is clear from chapter </w:t>
      </w:r>
      <w:r w:rsidR="00800BCE">
        <w:rPr>
          <w:lang w:val="en-US"/>
        </w:rPr>
        <w:t>19 of the book of</w:t>
      </w:r>
      <w:r>
        <w:rPr>
          <w:lang w:val="en-US"/>
        </w:rPr>
        <w:t xml:space="preserve"> </w:t>
      </w:r>
      <w:r>
        <w:rPr>
          <w:i/>
          <w:iCs/>
          <w:lang w:val="en-US"/>
        </w:rPr>
        <w:t xml:space="preserve">Shemot </w:t>
      </w:r>
      <w:r>
        <w:rPr>
          <w:lang w:val="en-US"/>
        </w:rPr>
        <w:t xml:space="preserve">that </w:t>
      </w:r>
      <w:r>
        <w:rPr>
          <w:i/>
          <w:iCs/>
          <w:lang w:val="en-US"/>
        </w:rPr>
        <w:t xml:space="preserve">Matan Torah </w:t>
      </w:r>
      <w:r>
        <w:rPr>
          <w:lang w:val="en-US"/>
        </w:rPr>
        <w:t xml:space="preserve">took place on </w:t>
      </w:r>
      <w:r>
        <w:rPr>
          <w:i/>
          <w:iCs/>
          <w:lang w:val="en-US"/>
        </w:rPr>
        <w:t xml:space="preserve">Shavuot </w:t>
      </w:r>
      <w:r>
        <w:rPr>
          <w:lang w:val="en-US"/>
        </w:rPr>
        <w:t>or very close to it,</w:t>
      </w:r>
      <w:r w:rsidR="00800BCE">
        <w:rPr>
          <w:rStyle w:val="FootnoteReference"/>
          <w:lang w:val="en-US"/>
        </w:rPr>
        <w:footnoteReference w:id="6"/>
      </w:r>
      <w:r>
        <w:rPr>
          <w:lang w:val="en-US"/>
        </w:rPr>
        <w:t xml:space="preserve"> the Festival </w:t>
      </w:r>
      <w:r>
        <w:rPr>
          <w:lang w:val="en-US"/>
        </w:rPr>
        <w:lastRenderedPageBreak/>
        <w:t xml:space="preserve">itself is presented in the Torah as a purely agricultural holiday, </w:t>
      </w:r>
      <w:r>
        <w:rPr>
          <w:i/>
          <w:iCs/>
          <w:lang w:val="en-US"/>
        </w:rPr>
        <w:t xml:space="preserve">Chag HaKatzir </w:t>
      </w:r>
      <w:r>
        <w:rPr>
          <w:lang w:val="en-US"/>
        </w:rPr>
        <w:t>(the harvest Festival)</w:t>
      </w:r>
      <w:r w:rsidR="00800BCE">
        <w:rPr>
          <w:rStyle w:val="FootnoteReference"/>
          <w:lang w:val="en-US"/>
        </w:rPr>
        <w:footnoteReference w:id="7"/>
      </w:r>
      <w:r>
        <w:rPr>
          <w:lang w:val="en-US"/>
        </w:rPr>
        <w:t xml:space="preserve"> or </w:t>
      </w:r>
      <w:r>
        <w:rPr>
          <w:i/>
          <w:iCs/>
          <w:lang w:val="en-US"/>
        </w:rPr>
        <w:t xml:space="preserve">Yom HaBikkurim </w:t>
      </w:r>
      <w:r>
        <w:rPr>
          <w:lang w:val="en-US"/>
        </w:rPr>
        <w:t>(the day of bringing first fruits)</w:t>
      </w:r>
      <w:r w:rsidR="00D93DD7">
        <w:rPr>
          <w:rStyle w:val="FootnoteReference"/>
          <w:lang w:val="en-US"/>
        </w:rPr>
        <w:footnoteReference w:id="8"/>
      </w:r>
      <w:r>
        <w:rPr>
          <w:lang w:val="en-US"/>
        </w:rPr>
        <w:t>.</w:t>
      </w:r>
    </w:p>
    <w:p w14:paraId="7D54D529" w14:textId="0905B8AC" w:rsidR="002A321D" w:rsidRDefault="002A321D" w:rsidP="002A321D">
      <w:pPr>
        <w:rPr>
          <w:lang w:val="en-US"/>
        </w:rPr>
      </w:pPr>
      <w:r>
        <w:rPr>
          <w:lang w:val="en-US"/>
        </w:rPr>
        <w:t xml:space="preserve">Even </w:t>
      </w:r>
      <w:r>
        <w:rPr>
          <w:i/>
          <w:iCs/>
          <w:lang w:val="en-US"/>
        </w:rPr>
        <w:t>Sefirat HaOmer</w:t>
      </w:r>
      <w:r>
        <w:rPr>
          <w:lang w:val="en-US"/>
        </w:rPr>
        <w:t xml:space="preserve">, the seven-week count connecting Passover with </w:t>
      </w:r>
      <w:r>
        <w:rPr>
          <w:i/>
          <w:iCs/>
          <w:lang w:val="en-US"/>
        </w:rPr>
        <w:t>Shavuot</w:t>
      </w:r>
      <w:r w:rsidR="00D93DD7">
        <w:rPr>
          <w:lang w:val="en-US"/>
        </w:rPr>
        <w:t>,</w:t>
      </w:r>
      <w:r>
        <w:rPr>
          <w:lang w:val="en-US"/>
        </w:rPr>
        <w:t xml:space="preserve"> is not presented in the Torah as connecting the Exodus from Egypt with the giving of the Torah (as we are generally accustomed to thinking of it today). Rather, it is presented as connecting the </w:t>
      </w:r>
      <w:r>
        <w:rPr>
          <w:i/>
          <w:iCs/>
          <w:lang w:val="en-US"/>
        </w:rPr>
        <w:t xml:space="preserve">Korban HaOmer, </w:t>
      </w:r>
      <w:r>
        <w:rPr>
          <w:lang w:val="en-US"/>
        </w:rPr>
        <w:t xml:space="preserve">the unique grain offering brought on </w:t>
      </w:r>
      <w:r>
        <w:rPr>
          <w:i/>
          <w:iCs/>
          <w:lang w:val="en-US"/>
        </w:rPr>
        <w:t>Pesach</w:t>
      </w:r>
      <w:r>
        <w:rPr>
          <w:lang w:val="en-US"/>
        </w:rPr>
        <w:t xml:space="preserve"> with the </w:t>
      </w:r>
      <w:r>
        <w:rPr>
          <w:i/>
          <w:iCs/>
          <w:lang w:val="en-US"/>
        </w:rPr>
        <w:t>Korban Shetei HaLechem</w:t>
      </w:r>
      <w:r>
        <w:rPr>
          <w:lang w:val="en-US"/>
        </w:rPr>
        <w:t xml:space="preserve">, the special grain offering for </w:t>
      </w:r>
      <w:r>
        <w:rPr>
          <w:i/>
          <w:iCs/>
          <w:lang w:val="en-US"/>
        </w:rPr>
        <w:t>Shavuot</w:t>
      </w:r>
      <w:r>
        <w:rPr>
          <w:lang w:val="en-US"/>
        </w:rPr>
        <w:t>:</w:t>
      </w:r>
    </w:p>
    <w:p w14:paraId="3A829036" w14:textId="49302B66" w:rsidR="002A321D" w:rsidRDefault="002A321D" w:rsidP="002A321D">
      <w:pPr>
        <w:bidi/>
        <w:rPr>
          <w:rFonts w:ascii="David" w:hAnsi="David" w:cs="David"/>
          <w:lang w:val="en-US"/>
        </w:rPr>
      </w:pPr>
      <w:r w:rsidRPr="003A4651">
        <w:rPr>
          <w:rFonts w:ascii="David" w:hAnsi="David" w:cs="David"/>
          <w:rtl/>
          <w:lang w:val="en-US"/>
        </w:rPr>
        <w:t xml:space="preserve">"וספרתם לחם ממחרת השבת </w:t>
      </w:r>
      <w:r w:rsidRPr="003A4651">
        <w:rPr>
          <w:rFonts w:ascii="David" w:hAnsi="David" w:cs="David"/>
          <w:b/>
          <w:bCs/>
          <w:rtl/>
          <w:lang w:val="en-US"/>
        </w:rPr>
        <w:t>מיום הביאכם את עמר התנופה</w:t>
      </w:r>
      <w:r w:rsidRPr="003A4651">
        <w:rPr>
          <w:rFonts w:ascii="David" w:hAnsi="David" w:cs="David"/>
          <w:rtl/>
          <w:lang w:val="en-US"/>
        </w:rPr>
        <w:t xml:space="preserve">...תספרו חמשים יום </w:t>
      </w:r>
      <w:r w:rsidRPr="003A4651">
        <w:rPr>
          <w:rFonts w:ascii="David" w:hAnsi="David" w:cs="David"/>
          <w:b/>
          <w:bCs/>
          <w:rtl/>
          <w:lang w:val="en-US"/>
        </w:rPr>
        <w:t>והקרבתם מנחה חדשה לה</w:t>
      </w:r>
      <w:r w:rsidRPr="003A4651">
        <w:rPr>
          <w:rFonts w:ascii="David" w:hAnsi="David" w:cs="David"/>
          <w:b/>
          <w:bCs/>
          <w:lang w:val="en-US"/>
        </w:rPr>
        <w:t>'</w:t>
      </w:r>
      <w:r w:rsidRPr="003A4651">
        <w:rPr>
          <w:rFonts w:ascii="David" w:hAnsi="David" w:cs="David"/>
          <w:rtl/>
          <w:lang w:val="en-US"/>
        </w:rPr>
        <w:t>"</w:t>
      </w:r>
      <w:r w:rsidR="00D93DD7">
        <w:rPr>
          <w:rFonts w:ascii="David" w:hAnsi="David" w:cs="David" w:hint="cs"/>
          <w:rtl/>
          <w:lang w:val="en-US"/>
        </w:rPr>
        <w:t xml:space="preserve"> (ויקרא כג:טו)</w:t>
      </w:r>
    </w:p>
    <w:p w14:paraId="3DE34D72" w14:textId="7D41A2F0" w:rsidR="002A321D" w:rsidRDefault="00D93DD7" w:rsidP="002A321D">
      <w:pPr>
        <w:rPr>
          <w:lang w:val="en-US"/>
        </w:rPr>
      </w:pPr>
      <w:r w:rsidRPr="00D93DD7">
        <w:rPr>
          <w:lang w:val="en-US"/>
        </w:rPr>
        <w:t>The</w:t>
      </w:r>
      <w:r>
        <w:rPr>
          <w:i/>
          <w:iCs/>
          <w:lang w:val="en-US"/>
        </w:rPr>
        <w:t xml:space="preserve"> K</w:t>
      </w:r>
      <w:r w:rsidR="002A321D">
        <w:rPr>
          <w:i/>
          <w:iCs/>
          <w:lang w:val="en-US"/>
        </w:rPr>
        <w:t xml:space="preserve">orban HaOmer </w:t>
      </w:r>
      <w:r w:rsidR="002A321D">
        <w:rPr>
          <w:lang w:val="en-US"/>
        </w:rPr>
        <w:t xml:space="preserve">is brought at the time of </w:t>
      </w:r>
      <w:r w:rsidR="002A321D">
        <w:rPr>
          <w:i/>
          <w:iCs/>
          <w:lang w:val="en-US"/>
        </w:rPr>
        <w:t>Aviv</w:t>
      </w:r>
      <w:r w:rsidR="002A321D">
        <w:rPr>
          <w:lang w:val="en-US"/>
        </w:rPr>
        <w:t xml:space="preserve">, which is the beginning of the ripening of the grain. It is brought from barley, which ripens earlier than wheat and </w:t>
      </w:r>
      <w:r>
        <w:rPr>
          <w:lang w:val="en-US"/>
        </w:rPr>
        <w:t xml:space="preserve">it </w:t>
      </w:r>
      <w:r w:rsidR="002A321D">
        <w:rPr>
          <w:lang w:val="en-US"/>
        </w:rPr>
        <w:t xml:space="preserve">is brought as </w:t>
      </w:r>
      <w:r w:rsidR="002A321D">
        <w:rPr>
          <w:i/>
          <w:iCs/>
          <w:lang w:val="en-US"/>
        </w:rPr>
        <w:t>matza</w:t>
      </w:r>
      <w:r w:rsidR="002A321D">
        <w:rPr>
          <w:lang w:val="en-US"/>
        </w:rPr>
        <w:t xml:space="preserve">. By contrast, the </w:t>
      </w:r>
      <w:r w:rsidR="002A321D">
        <w:rPr>
          <w:i/>
          <w:iCs/>
          <w:lang w:val="en-US"/>
        </w:rPr>
        <w:t xml:space="preserve">Shetei HaLechem </w:t>
      </w:r>
      <w:r w:rsidR="002A321D">
        <w:rPr>
          <w:lang w:val="en-US"/>
        </w:rPr>
        <w:t xml:space="preserve">is brought from fine wheat flour, </w:t>
      </w:r>
      <w:r>
        <w:rPr>
          <w:lang w:val="en-US"/>
        </w:rPr>
        <w:t xml:space="preserve">and </w:t>
      </w:r>
      <w:r w:rsidR="002A321D">
        <w:rPr>
          <w:lang w:val="en-US"/>
        </w:rPr>
        <w:t xml:space="preserve">baked as </w:t>
      </w:r>
      <w:r w:rsidR="002A321D">
        <w:rPr>
          <w:i/>
          <w:iCs/>
          <w:lang w:val="en-US"/>
        </w:rPr>
        <w:t>chametz</w:t>
      </w:r>
      <w:r w:rsidR="002A321D">
        <w:rPr>
          <w:lang w:val="en-US"/>
        </w:rPr>
        <w:t xml:space="preserve">. In other words, as explained by my esteemed teacher Rav Yoel bin Nun, the </w:t>
      </w:r>
      <w:r w:rsidR="002A321D">
        <w:rPr>
          <w:i/>
          <w:iCs/>
          <w:lang w:val="en-US"/>
        </w:rPr>
        <w:t xml:space="preserve">Omer </w:t>
      </w:r>
      <w:r w:rsidR="002A321D">
        <w:rPr>
          <w:lang w:val="en-US"/>
        </w:rPr>
        <w:t xml:space="preserve">symbolizes the </w:t>
      </w:r>
      <w:r w:rsidR="002A321D">
        <w:rPr>
          <w:b/>
          <w:bCs/>
          <w:lang w:val="en-US"/>
        </w:rPr>
        <w:t xml:space="preserve">beginning </w:t>
      </w:r>
      <w:r w:rsidR="002A321D">
        <w:rPr>
          <w:lang w:val="en-US"/>
        </w:rPr>
        <w:t xml:space="preserve">of </w:t>
      </w:r>
      <w:r>
        <w:rPr>
          <w:lang w:val="en-US"/>
        </w:rPr>
        <w:t>a</w:t>
      </w:r>
      <w:r w:rsidR="002A321D">
        <w:rPr>
          <w:lang w:val="en-US"/>
        </w:rPr>
        <w:t xml:space="preserve"> process, when most of the harvest </w:t>
      </w:r>
      <w:r>
        <w:rPr>
          <w:lang w:val="en-US"/>
        </w:rPr>
        <w:t>is still merely</w:t>
      </w:r>
      <w:r w:rsidR="002A321D">
        <w:rPr>
          <w:lang w:val="en-US"/>
        </w:rPr>
        <w:t xml:space="preserve"> </w:t>
      </w:r>
      <w:r w:rsidR="002A321D">
        <w:rPr>
          <w:b/>
          <w:bCs/>
          <w:lang w:val="en-US"/>
        </w:rPr>
        <w:t>potential</w:t>
      </w:r>
      <w:r w:rsidR="002A321D">
        <w:rPr>
          <w:lang w:val="en-US"/>
        </w:rPr>
        <w:t xml:space="preserve">, whereas the </w:t>
      </w:r>
      <w:r w:rsidR="002A321D">
        <w:rPr>
          <w:i/>
          <w:iCs/>
          <w:lang w:val="en-US"/>
        </w:rPr>
        <w:t xml:space="preserve">Shetei HaLechem </w:t>
      </w:r>
      <w:r w:rsidR="002A321D">
        <w:rPr>
          <w:lang w:val="en-US"/>
        </w:rPr>
        <w:t>represents the successful conclusion of th</w:t>
      </w:r>
      <w:r>
        <w:rPr>
          <w:lang w:val="en-US"/>
        </w:rPr>
        <w:t>e</w:t>
      </w:r>
      <w:r w:rsidR="002A321D">
        <w:rPr>
          <w:lang w:val="en-US"/>
        </w:rPr>
        <w:t xml:space="preserve"> process, the actualization of that potential. The step-by-step transition from potential to actualization is marked by </w:t>
      </w:r>
      <w:r w:rsidR="002A321D">
        <w:rPr>
          <w:i/>
          <w:iCs/>
          <w:lang w:val="en-US"/>
        </w:rPr>
        <w:t>Sefirat HaOmer</w:t>
      </w:r>
      <w:r w:rsidR="002A321D">
        <w:rPr>
          <w:lang w:val="en-US"/>
        </w:rPr>
        <w:t>.</w:t>
      </w:r>
    </w:p>
    <w:p w14:paraId="541EE27C" w14:textId="7D1EA66F" w:rsidR="002A321D" w:rsidRPr="009C336E" w:rsidRDefault="002A321D" w:rsidP="002A321D">
      <w:pPr>
        <w:rPr>
          <w:lang w:val="en-US"/>
        </w:rPr>
      </w:pPr>
      <w:r>
        <w:rPr>
          <w:lang w:val="en-US"/>
        </w:rPr>
        <w:t xml:space="preserve">After the destruction of the </w:t>
      </w:r>
      <w:r w:rsidR="00D93DD7" w:rsidRPr="00D93DD7">
        <w:rPr>
          <w:i/>
          <w:iCs/>
          <w:lang w:val="en-US"/>
        </w:rPr>
        <w:t>B</w:t>
      </w:r>
      <w:r>
        <w:rPr>
          <w:i/>
          <w:iCs/>
          <w:lang w:val="en-US"/>
        </w:rPr>
        <w:t xml:space="preserve">et haMikdash </w:t>
      </w:r>
      <w:r>
        <w:rPr>
          <w:lang w:val="en-US"/>
        </w:rPr>
        <w:t xml:space="preserve">and our dispersion into exile and Diaspora, the emphasis of </w:t>
      </w:r>
      <w:r>
        <w:rPr>
          <w:i/>
          <w:iCs/>
          <w:lang w:val="en-US"/>
        </w:rPr>
        <w:t xml:space="preserve">Sefirat HaOmer </w:t>
      </w:r>
      <w:r>
        <w:rPr>
          <w:lang w:val="en-US"/>
        </w:rPr>
        <w:t xml:space="preserve">and </w:t>
      </w:r>
      <w:r>
        <w:rPr>
          <w:i/>
          <w:iCs/>
          <w:lang w:val="en-US"/>
        </w:rPr>
        <w:t xml:space="preserve">Shavuot </w:t>
      </w:r>
      <w:r>
        <w:rPr>
          <w:lang w:val="en-US"/>
        </w:rPr>
        <w:t xml:space="preserve">shifted from the celebration of the harvest in the land of Israel (which wasn’t relevant in exile) to commemorating </w:t>
      </w:r>
      <w:r>
        <w:rPr>
          <w:i/>
          <w:iCs/>
          <w:lang w:val="en-US"/>
        </w:rPr>
        <w:t>Matan Torah</w:t>
      </w:r>
      <w:r>
        <w:rPr>
          <w:lang w:val="en-US"/>
        </w:rPr>
        <w:t xml:space="preserve">. Still, though, </w:t>
      </w:r>
      <w:r>
        <w:rPr>
          <w:i/>
          <w:iCs/>
          <w:lang w:val="en-US"/>
        </w:rPr>
        <w:t>Sefirat HaOmer</w:t>
      </w:r>
      <w:r>
        <w:rPr>
          <w:lang w:val="en-US"/>
        </w:rPr>
        <w:t xml:space="preserve"> marks the transition from the </w:t>
      </w:r>
      <w:r w:rsidRPr="00D93DD7">
        <w:rPr>
          <w:b/>
          <w:bCs/>
          <w:lang w:val="en-US"/>
        </w:rPr>
        <w:t>potential</w:t>
      </w:r>
      <w:r>
        <w:rPr>
          <w:lang w:val="en-US"/>
        </w:rPr>
        <w:t xml:space="preserve"> contained within </w:t>
      </w:r>
      <w:r>
        <w:rPr>
          <w:i/>
          <w:iCs/>
          <w:lang w:val="en-US"/>
        </w:rPr>
        <w:t xml:space="preserve">Yetziat Mitzrayim </w:t>
      </w:r>
      <w:r>
        <w:rPr>
          <w:lang w:val="en-US"/>
        </w:rPr>
        <w:t xml:space="preserve">to its </w:t>
      </w:r>
      <w:r w:rsidRPr="00D93DD7">
        <w:rPr>
          <w:b/>
          <w:bCs/>
          <w:lang w:val="en-US"/>
        </w:rPr>
        <w:t>actualization</w:t>
      </w:r>
      <w:r>
        <w:rPr>
          <w:lang w:val="en-US"/>
        </w:rPr>
        <w:t xml:space="preserve"> at </w:t>
      </w:r>
      <w:r>
        <w:rPr>
          <w:i/>
          <w:iCs/>
          <w:lang w:val="en-US"/>
        </w:rPr>
        <w:t>Matan Torah</w:t>
      </w:r>
      <w:r>
        <w:rPr>
          <w:lang w:val="en-US"/>
        </w:rPr>
        <w:t xml:space="preserve">. And </w:t>
      </w:r>
      <w:r w:rsidR="00D93DD7">
        <w:rPr>
          <w:lang w:val="en-US"/>
        </w:rPr>
        <w:t>therefore,</w:t>
      </w:r>
      <w:r>
        <w:rPr>
          <w:lang w:val="en-US"/>
        </w:rPr>
        <w:t xml:space="preserve"> the tradition </w:t>
      </w:r>
      <w:r w:rsidR="00D93DD7">
        <w:rPr>
          <w:lang w:val="en-US"/>
        </w:rPr>
        <w:t>of spending</w:t>
      </w:r>
      <w:r>
        <w:rPr>
          <w:lang w:val="en-US"/>
        </w:rPr>
        <w:t xml:space="preserve"> the</w:t>
      </w:r>
      <w:r w:rsidR="00D93DD7">
        <w:rPr>
          <w:lang w:val="en-US"/>
        </w:rPr>
        <w:t xml:space="preserve"> entire</w:t>
      </w:r>
      <w:r>
        <w:rPr>
          <w:lang w:val="en-US"/>
        </w:rPr>
        <w:t xml:space="preserve"> night of </w:t>
      </w:r>
      <w:r>
        <w:rPr>
          <w:i/>
          <w:iCs/>
          <w:lang w:val="en-US"/>
        </w:rPr>
        <w:t xml:space="preserve">Shavuot </w:t>
      </w:r>
      <w:r>
        <w:rPr>
          <w:lang w:val="en-US"/>
        </w:rPr>
        <w:t xml:space="preserve">immersed in Torah study </w:t>
      </w:r>
      <w:r w:rsidR="00D93DD7">
        <w:rPr>
          <w:lang w:val="en-US"/>
        </w:rPr>
        <w:t>developed</w:t>
      </w:r>
      <w:r>
        <w:rPr>
          <w:lang w:val="en-US"/>
        </w:rPr>
        <w:t>.</w:t>
      </w:r>
    </w:p>
    <w:p w14:paraId="3FE3813E" w14:textId="6DEA85D2" w:rsidR="002A321D" w:rsidRDefault="00F166BA" w:rsidP="002A321D">
      <w:pPr>
        <w:rPr>
          <w:lang w:val="en-US"/>
        </w:rPr>
      </w:pPr>
      <w:r>
        <w:rPr>
          <w:lang w:val="en-US"/>
        </w:rPr>
        <w:t xml:space="preserve">On </w:t>
      </w:r>
      <w:r>
        <w:rPr>
          <w:i/>
          <w:iCs/>
          <w:lang w:val="en-US"/>
        </w:rPr>
        <w:t>Pesach</w:t>
      </w:r>
      <w:r w:rsidR="00D93DD7">
        <w:rPr>
          <w:i/>
          <w:iCs/>
          <w:lang w:val="en-US"/>
        </w:rPr>
        <w:t>,</w:t>
      </w:r>
      <w:r>
        <w:rPr>
          <w:lang w:val="en-US"/>
        </w:rPr>
        <w:t xml:space="preserve"> we read </w:t>
      </w:r>
      <w:r>
        <w:rPr>
          <w:i/>
          <w:iCs/>
          <w:lang w:val="en-US"/>
        </w:rPr>
        <w:t>Shir HaShirim</w:t>
      </w:r>
      <w:r>
        <w:rPr>
          <w:lang w:val="en-US"/>
        </w:rPr>
        <w:t>, a passionate love song symbolizing our love for God</w:t>
      </w:r>
      <w:r w:rsidR="009F02DF">
        <w:rPr>
          <w:rStyle w:val="FootnoteReference"/>
          <w:lang w:val="en-US"/>
        </w:rPr>
        <w:footnoteReference w:id="9"/>
      </w:r>
      <w:r>
        <w:rPr>
          <w:lang w:val="en-US"/>
        </w:rPr>
        <w:t xml:space="preserve"> and His for us, as it </w:t>
      </w:r>
      <w:r w:rsidR="00D93DD7">
        <w:rPr>
          <w:lang w:val="en-US"/>
        </w:rPr>
        <w:t xml:space="preserve">was shown at </w:t>
      </w:r>
      <w:r>
        <w:rPr>
          <w:i/>
          <w:iCs/>
          <w:lang w:val="en-US"/>
        </w:rPr>
        <w:t>Yetziat Mitzrayim</w:t>
      </w:r>
      <w:r>
        <w:rPr>
          <w:lang w:val="en-US"/>
        </w:rPr>
        <w:t xml:space="preserve">.  And on </w:t>
      </w:r>
      <w:r>
        <w:rPr>
          <w:i/>
          <w:iCs/>
          <w:lang w:val="en-US"/>
        </w:rPr>
        <w:t>Shavuot</w:t>
      </w:r>
      <w:r w:rsidR="00D93DD7">
        <w:rPr>
          <w:i/>
          <w:iCs/>
          <w:lang w:val="en-US"/>
        </w:rPr>
        <w:t>,</w:t>
      </w:r>
      <w:r>
        <w:rPr>
          <w:lang w:val="en-US"/>
        </w:rPr>
        <w:t xml:space="preserve"> we read </w:t>
      </w:r>
      <w:r>
        <w:rPr>
          <w:i/>
          <w:iCs/>
          <w:lang w:val="en-US"/>
        </w:rPr>
        <w:t>Rut</w:t>
      </w:r>
      <w:r w:rsidR="00D93DD7" w:rsidRPr="00D93DD7">
        <w:rPr>
          <w:i/>
          <w:iCs/>
          <w:lang w:val="en-US"/>
        </w:rPr>
        <w:t>,</w:t>
      </w:r>
      <w:r w:rsidR="00D93DD7">
        <w:rPr>
          <w:lang w:val="en-US"/>
        </w:rPr>
        <w:t xml:space="preserve"> </w:t>
      </w:r>
      <w:r>
        <w:rPr>
          <w:lang w:val="en-US"/>
        </w:rPr>
        <w:t xml:space="preserve">which is also a love story. However, the type of love </w:t>
      </w:r>
      <w:r w:rsidR="00D93DD7">
        <w:rPr>
          <w:lang w:val="en-US"/>
        </w:rPr>
        <w:t>expressed</w:t>
      </w:r>
      <w:r>
        <w:rPr>
          <w:lang w:val="en-US"/>
        </w:rPr>
        <w:t xml:space="preserve"> in </w:t>
      </w:r>
      <w:r>
        <w:rPr>
          <w:i/>
          <w:iCs/>
          <w:lang w:val="en-US"/>
        </w:rPr>
        <w:t xml:space="preserve">Rut </w:t>
      </w:r>
      <w:r>
        <w:rPr>
          <w:lang w:val="en-US"/>
        </w:rPr>
        <w:t xml:space="preserve">is different from that represented by </w:t>
      </w:r>
      <w:r>
        <w:rPr>
          <w:i/>
          <w:iCs/>
          <w:lang w:val="en-US"/>
        </w:rPr>
        <w:t>Shir HaShirim</w:t>
      </w:r>
      <w:r>
        <w:rPr>
          <w:lang w:val="en-US"/>
        </w:rPr>
        <w:t xml:space="preserve">. </w:t>
      </w:r>
      <w:r>
        <w:rPr>
          <w:i/>
          <w:iCs/>
          <w:lang w:val="en-US"/>
        </w:rPr>
        <w:t xml:space="preserve">Shir HaShirim </w:t>
      </w:r>
      <w:r>
        <w:rPr>
          <w:lang w:val="en-US"/>
        </w:rPr>
        <w:t xml:space="preserve">depicts passionate love, filled with excitement and desire, while </w:t>
      </w:r>
      <w:r>
        <w:rPr>
          <w:i/>
          <w:iCs/>
          <w:lang w:val="en-US"/>
        </w:rPr>
        <w:t xml:space="preserve">Rut </w:t>
      </w:r>
      <w:r>
        <w:rPr>
          <w:lang w:val="en-US"/>
        </w:rPr>
        <w:t>speaks of</w:t>
      </w:r>
      <w:r w:rsidR="00D93DD7">
        <w:rPr>
          <w:lang w:val="en-US"/>
        </w:rPr>
        <w:t xml:space="preserve"> </w:t>
      </w:r>
      <w:r>
        <w:rPr>
          <w:lang w:val="en-US"/>
        </w:rPr>
        <w:t xml:space="preserve">love </w:t>
      </w:r>
      <w:r w:rsidR="00D93DD7">
        <w:rPr>
          <w:lang w:val="en-US"/>
        </w:rPr>
        <w:t xml:space="preserve">rooted in </w:t>
      </w:r>
      <w:r w:rsidR="00D93DD7" w:rsidRPr="00D93DD7">
        <w:rPr>
          <w:i/>
          <w:iCs/>
          <w:lang w:val="en-US"/>
        </w:rPr>
        <w:t>chesed</w:t>
      </w:r>
      <w:r w:rsidR="00D93DD7">
        <w:rPr>
          <w:lang w:val="en-US"/>
        </w:rPr>
        <w:t xml:space="preserve">, </w:t>
      </w:r>
      <w:r w:rsidRPr="00D93DD7">
        <w:rPr>
          <w:lang w:val="en-US"/>
        </w:rPr>
        <w:t>kindness</w:t>
      </w:r>
      <w:r>
        <w:rPr>
          <w:lang w:val="en-US"/>
        </w:rPr>
        <w:t xml:space="preserve">. We read of Rut’s kindness towards Naomi, and even of a marriage (Rut and Boaz) built on acts of kindness – the redemption of the field, the marriage of a poor widow, and the levirate redemption of the legacy of </w:t>
      </w:r>
      <w:r w:rsidR="00D93DD7">
        <w:rPr>
          <w:lang w:val="en-US"/>
        </w:rPr>
        <w:t>a</w:t>
      </w:r>
      <w:r>
        <w:rPr>
          <w:lang w:val="en-US"/>
        </w:rPr>
        <w:t xml:space="preserve"> childless deceased man.</w:t>
      </w:r>
    </w:p>
    <w:p w14:paraId="6C789BDE" w14:textId="76725F9C" w:rsidR="00F166BA" w:rsidRDefault="00D93DD7" w:rsidP="002A321D">
      <w:pPr>
        <w:rPr>
          <w:lang w:val="en-US"/>
        </w:rPr>
      </w:pPr>
      <w:r>
        <w:rPr>
          <w:lang w:val="en-US"/>
        </w:rPr>
        <w:t>So,</w:t>
      </w:r>
      <w:r w:rsidR="00F166BA">
        <w:rPr>
          <w:lang w:val="en-US"/>
        </w:rPr>
        <w:t xml:space="preserve"> we have two different types of love </w:t>
      </w:r>
      <w:r>
        <w:rPr>
          <w:lang w:val="en-US"/>
        </w:rPr>
        <w:t>expressed</w:t>
      </w:r>
      <w:r w:rsidR="00F166BA">
        <w:rPr>
          <w:lang w:val="en-US"/>
        </w:rPr>
        <w:t xml:space="preserve"> </w:t>
      </w:r>
      <w:r>
        <w:rPr>
          <w:lang w:val="en-US"/>
        </w:rPr>
        <w:t>in</w:t>
      </w:r>
      <w:r w:rsidR="00F166BA">
        <w:rPr>
          <w:lang w:val="en-US"/>
        </w:rPr>
        <w:t xml:space="preserve"> the two Festivals that are linked by </w:t>
      </w:r>
      <w:r w:rsidR="00F166BA">
        <w:rPr>
          <w:i/>
          <w:iCs/>
          <w:lang w:val="en-US"/>
        </w:rPr>
        <w:t>Sefirat HaOmer</w:t>
      </w:r>
      <w:r w:rsidR="00F166BA">
        <w:rPr>
          <w:lang w:val="en-US"/>
        </w:rPr>
        <w:t xml:space="preserve">. And indeed, the passionate love highlighted in </w:t>
      </w:r>
      <w:r w:rsidR="00F166BA">
        <w:rPr>
          <w:i/>
          <w:iCs/>
          <w:lang w:val="en-US"/>
        </w:rPr>
        <w:t xml:space="preserve">Shir HaShirim </w:t>
      </w:r>
      <w:r>
        <w:rPr>
          <w:lang w:val="en-US"/>
        </w:rPr>
        <w:t>exists primarily</w:t>
      </w:r>
      <w:r w:rsidR="00F166BA">
        <w:rPr>
          <w:lang w:val="en-US"/>
        </w:rPr>
        <w:t xml:space="preserve"> in </w:t>
      </w:r>
      <w:r>
        <w:rPr>
          <w:lang w:val="en-US"/>
        </w:rPr>
        <w:t>potential</w:t>
      </w:r>
      <w:r w:rsidR="00F166BA">
        <w:rPr>
          <w:lang w:val="en-US"/>
        </w:rPr>
        <w:t xml:space="preserve">, waiting to be actualized; this is quite appropriate for </w:t>
      </w:r>
      <w:r w:rsidR="00F166BA">
        <w:rPr>
          <w:i/>
          <w:iCs/>
          <w:lang w:val="en-US"/>
        </w:rPr>
        <w:t>Pesach</w:t>
      </w:r>
      <w:r w:rsidR="00F166BA">
        <w:rPr>
          <w:lang w:val="en-US"/>
        </w:rPr>
        <w:t xml:space="preserve">. And </w:t>
      </w:r>
      <w:r w:rsidR="00F166BA">
        <w:rPr>
          <w:i/>
          <w:iCs/>
          <w:lang w:val="en-US"/>
        </w:rPr>
        <w:t>Rut</w:t>
      </w:r>
      <w:r w:rsidR="00F166BA">
        <w:rPr>
          <w:lang w:val="en-US"/>
        </w:rPr>
        <w:t>, which depicts the love of kindness and generosity</w:t>
      </w:r>
      <w:r>
        <w:rPr>
          <w:lang w:val="en-US"/>
        </w:rPr>
        <w:t>,</w:t>
      </w:r>
      <w:r w:rsidR="00F166BA">
        <w:rPr>
          <w:lang w:val="en-US"/>
        </w:rPr>
        <w:t xml:space="preserve"> is appropriate for </w:t>
      </w:r>
      <w:r w:rsidR="00F166BA">
        <w:rPr>
          <w:i/>
          <w:iCs/>
          <w:lang w:val="en-US"/>
        </w:rPr>
        <w:t>Shavuot</w:t>
      </w:r>
      <w:r w:rsidR="00F166BA">
        <w:rPr>
          <w:lang w:val="en-US"/>
        </w:rPr>
        <w:t xml:space="preserve"> when th</w:t>
      </w:r>
      <w:r>
        <w:rPr>
          <w:lang w:val="en-US"/>
        </w:rPr>
        <w:t>e</w:t>
      </w:r>
      <w:r w:rsidR="00F166BA">
        <w:rPr>
          <w:lang w:val="en-US"/>
        </w:rPr>
        <w:t xml:space="preserve"> love has become actualized and mature.</w:t>
      </w:r>
    </w:p>
    <w:p w14:paraId="2911FFB9" w14:textId="77777777" w:rsidR="00D93DD7" w:rsidRDefault="00F166BA" w:rsidP="002A321D">
      <w:pPr>
        <w:rPr>
          <w:lang w:val="en-US"/>
        </w:rPr>
      </w:pPr>
      <w:r>
        <w:rPr>
          <w:lang w:val="en-US"/>
        </w:rPr>
        <w:t xml:space="preserve">Now, we can return to the honey and milk with new understanding. </w:t>
      </w:r>
    </w:p>
    <w:p w14:paraId="6B69AB7F" w14:textId="5A4ED6AE" w:rsidR="00F166BA" w:rsidRDefault="00F166BA" w:rsidP="002A321D">
      <w:pPr>
        <w:rPr>
          <w:lang w:val="en-US"/>
        </w:rPr>
      </w:pPr>
      <w:r>
        <w:rPr>
          <w:lang w:val="en-US"/>
        </w:rPr>
        <w:t xml:space="preserve">Honey is very sweet, but cannot provide nourishment. This symbolizes the </w:t>
      </w:r>
      <w:r>
        <w:rPr>
          <w:i/>
          <w:iCs/>
          <w:lang w:val="en-US"/>
        </w:rPr>
        <w:t xml:space="preserve">Shir HaShirim </w:t>
      </w:r>
      <w:r>
        <w:rPr>
          <w:lang w:val="en-US"/>
        </w:rPr>
        <w:t>type of love, filled with passion</w:t>
      </w:r>
      <w:r w:rsidR="00D93DD7">
        <w:rPr>
          <w:lang w:val="en-US"/>
        </w:rPr>
        <w:t>, desire,</w:t>
      </w:r>
      <w:r>
        <w:rPr>
          <w:lang w:val="en-US"/>
        </w:rPr>
        <w:t xml:space="preserve"> and pleasure. But milk symbolizes a deeper type of love</w:t>
      </w:r>
      <w:r w:rsidR="00D93DD7">
        <w:rPr>
          <w:lang w:val="en-US"/>
        </w:rPr>
        <w:t>:</w:t>
      </w:r>
      <w:r>
        <w:rPr>
          <w:lang w:val="en-US"/>
        </w:rPr>
        <w:t xml:space="preserve"> the love of a mother for her child. When a mother nurses her baby, she is not merely </w:t>
      </w:r>
      <w:r w:rsidRPr="00F166BA">
        <w:rPr>
          <w:b/>
          <w:bCs/>
          <w:lang w:val="en-US"/>
        </w:rPr>
        <w:t>hugging</w:t>
      </w:r>
      <w:r>
        <w:rPr>
          <w:lang w:val="en-US"/>
        </w:rPr>
        <w:t xml:space="preserve"> him – she is </w:t>
      </w:r>
      <w:r>
        <w:rPr>
          <w:b/>
          <w:bCs/>
          <w:lang w:val="en-US"/>
        </w:rPr>
        <w:t xml:space="preserve">nourishing </w:t>
      </w:r>
      <w:r>
        <w:rPr>
          <w:lang w:val="en-US"/>
        </w:rPr>
        <w:t xml:space="preserve">him, feeding him, and providing him with life. This is the love of </w:t>
      </w:r>
      <w:r>
        <w:rPr>
          <w:i/>
          <w:iCs/>
          <w:lang w:val="en-US"/>
        </w:rPr>
        <w:t>Megillat Rut</w:t>
      </w:r>
      <w:r w:rsidR="00AF52C8">
        <w:rPr>
          <w:lang w:val="en-US"/>
        </w:rPr>
        <w:t>, and this is also the ultimate purpose of the Torah.</w:t>
      </w:r>
    </w:p>
    <w:p w14:paraId="680508E9" w14:textId="1A83473D" w:rsidR="00AF52C8" w:rsidRDefault="00AF52C8" w:rsidP="002A321D">
      <w:pPr>
        <w:rPr>
          <w:lang w:val="en-US"/>
        </w:rPr>
      </w:pPr>
      <w:r>
        <w:rPr>
          <w:lang w:val="en-US"/>
        </w:rPr>
        <w:lastRenderedPageBreak/>
        <w:t xml:space="preserve">Yes, learning </w:t>
      </w:r>
      <w:r w:rsidR="00D93DD7">
        <w:rPr>
          <w:lang w:val="en-US"/>
        </w:rPr>
        <w:t xml:space="preserve">Torah </w:t>
      </w:r>
      <w:r>
        <w:rPr>
          <w:lang w:val="en-US"/>
        </w:rPr>
        <w:t xml:space="preserve">can be exceedingly pleasurable; it is </w:t>
      </w:r>
      <w:r w:rsidR="00D93DD7">
        <w:rPr>
          <w:lang w:val="en-US"/>
        </w:rPr>
        <w:t>most certainly</w:t>
      </w:r>
      <w:r>
        <w:rPr>
          <w:lang w:val="en-US"/>
        </w:rPr>
        <w:t xml:space="preserve"> “sweeter than honey or the drippings of the honeycomb.” But even more than honey, the Torah can be compared to milk, the essential nourishment that a loving mother provides to her beloved child.  </w:t>
      </w:r>
    </w:p>
    <w:p w14:paraId="00EC27DB" w14:textId="5B5BDAEC" w:rsidR="00AF52C8" w:rsidRDefault="00AF52C8" w:rsidP="002A321D">
      <w:pPr>
        <w:rPr>
          <w:lang w:val="en-US"/>
        </w:rPr>
      </w:pPr>
      <w:r>
        <w:rPr>
          <w:lang w:val="en-US"/>
        </w:rPr>
        <w:t>And therefore, although the Torah is compared to “h</w:t>
      </w:r>
      <w:r w:rsidRPr="003A059A">
        <w:rPr>
          <w:lang w:val="en-US"/>
        </w:rPr>
        <w:t>oney and milk</w:t>
      </w:r>
      <w:r>
        <w:rPr>
          <w:lang w:val="en-US"/>
        </w:rPr>
        <w:t xml:space="preserve"> </w:t>
      </w:r>
      <w:r w:rsidRPr="003A059A">
        <w:rPr>
          <w:lang w:val="en-US"/>
        </w:rPr>
        <w:t>under your tongue</w:t>
      </w:r>
      <w:r>
        <w:rPr>
          <w:lang w:val="en-US"/>
        </w:rPr>
        <w:t xml:space="preserve">,” and the original custom may have been to eat both foods on </w:t>
      </w:r>
      <w:r>
        <w:rPr>
          <w:i/>
          <w:iCs/>
          <w:lang w:val="en-US"/>
        </w:rPr>
        <w:t>Shavuot</w:t>
      </w:r>
      <w:r>
        <w:rPr>
          <w:lang w:val="en-US"/>
        </w:rPr>
        <w:t>, it is quite appropriate that in the final analysis, we have retained specifically the milk. It</w:t>
      </w:r>
      <w:r w:rsidR="00D93DD7">
        <w:rPr>
          <w:lang w:val="en-US"/>
        </w:rPr>
        <w:t>’</w:t>
      </w:r>
      <w:r>
        <w:rPr>
          <w:lang w:val="en-US"/>
        </w:rPr>
        <w:t xml:space="preserve">s </w:t>
      </w:r>
      <w:r w:rsidR="00D93DD7">
        <w:rPr>
          <w:lang w:val="en-US"/>
        </w:rPr>
        <w:t xml:space="preserve">fitting </w:t>
      </w:r>
      <w:r>
        <w:rPr>
          <w:lang w:val="en-US"/>
        </w:rPr>
        <w:t xml:space="preserve">that on </w:t>
      </w:r>
      <w:r>
        <w:rPr>
          <w:i/>
          <w:iCs/>
          <w:lang w:val="en-US"/>
        </w:rPr>
        <w:t>Leil</w:t>
      </w:r>
      <w:r>
        <w:rPr>
          <w:lang w:val="en-US"/>
        </w:rPr>
        <w:t xml:space="preserve"> </w:t>
      </w:r>
      <w:r>
        <w:rPr>
          <w:i/>
          <w:iCs/>
          <w:lang w:val="en-US"/>
        </w:rPr>
        <w:t>Shavuot</w:t>
      </w:r>
      <w:r>
        <w:rPr>
          <w:lang w:val="en-US"/>
        </w:rPr>
        <w:t>, as we sit up all night immersed in the sweetness of Torah, we eat foods made from milk, symbolizing our love and esteem for the gift of the Torah</w:t>
      </w:r>
      <w:r w:rsidR="009F02DF">
        <w:rPr>
          <w:lang w:val="en-US"/>
        </w:rPr>
        <w:t>, and</w:t>
      </w:r>
      <w:r>
        <w:rPr>
          <w:lang w:val="en-US"/>
        </w:rPr>
        <w:t xml:space="preserve"> </w:t>
      </w:r>
      <w:r w:rsidR="009F02DF">
        <w:rPr>
          <w:lang w:val="en-US"/>
        </w:rPr>
        <w:t>demonstrating</w:t>
      </w:r>
      <w:r>
        <w:rPr>
          <w:lang w:val="en-US"/>
        </w:rPr>
        <w:t xml:space="preserve"> that the Torah means much more to us than the pleasure of something “sweeter than honey”. We drink the words of Torah with thirst, as a baby suckles his mothers milk.</w:t>
      </w:r>
    </w:p>
    <w:p w14:paraId="5DF4DB4E" w14:textId="1A06E567" w:rsidR="00AF52C8" w:rsidRDefault="00AF52C8" w:rsidP="002A321D">
      <w:pPr>
        <w:rPr>
          <w:lang w:val="en-US"/>
        </w:rPr>
      </w:pPr>
      <w:r>
        <w:rPr>
          <w:rFonts w:ascii="David" w:hAnsi="David" w:cs="David" w:hint="cs"/>
          <w:rtl/>
          <w:lang w:val="en-US"/>
        </w:rPr>
        <w:t xml:space="preserve">כי </w:t>
      </w:r>
      <w:r w:rsidRPr="00AF52C8">
        <w:rPr>
          <w:rFonts w:ascii="David" w:hAnsi="David" w:cs="David"/>
          <w:rtl/>
          <w:lang w:val="en-US"/>
        </w:rPr>
        <w:t>הם חיינו ואורך ימינו, ובהם נהגה יומם ולילה</w:t>
      </w:r>
      <w:r w:rsidRPr="00AF52C8">
        <w:rPr>
          <w:rFonts w:ascii="David" w:hAnsi="David" w:cs="David"/>
          <w:lang w:val="en-US"/>
        </w:rPr>
        <w:t xml:space="preserve"> </w:t>
      </w:r>
      <w:r>
        <w:rPr>
          <w:lang w:val="en-US"/>
        </w:rPr>
        <w:t>– the Torah is the essence of our life and our key to longevity, thus we will study it day and night.</w:t>
      </w:r>
    </w:p>
    <w:p w14:paraId="067AA100" w14:textId="0D0417B6" w:rsidR="00AF52C8" w:rsidRPr="00AF52C8" w:rsidRDefault="00AF52C8" w:rsidP="002A321D">
      <w:pPr>
        <w:rPr>
          <w:i/>
          <w:iCs/>
          <w:lang w:val="en-US"/>
        </w:rPr>
      </w:pPr>
      <w:r>
        <w:rPr>
          <w:i/>
          <w:iCs/>
          <w:lang w:val="en-US"/>
        </w:rPr>
        <w:t>Chag Sameach!</w:t>
      </w:r>
    </w:p>
    <w:p w14:paraId="2A074020" w14:textId="77777777" w:rsidR="002A321D" w:rsidRPr="002A321D" w:rsidRDefault="002A321D" w:rsidP="002A321D">
      <w:pPr>
        <w:rPr>
          <w:lang w:val="en-US"/>
        </w:rPr>
      </w:pPr>
    </w:p>
    <w:sectPr w:rsidR="002A321D" w:rsidRPr="002A321D" w:rsidSect="00FF7583">
      <w:headerReference w:type="default" r:id="rId7"/>
      <w:headerReference w:type="first" r:id="rId8"/>
      <w:pgSz w:w="11906" w:h="16838"/>
      <w:pgMar w:top="1440" w:right="1440" w:bottom="1440" w:left="1440" w:header="708" w:footer="708" w:gutter="0"/>
      <w:pgBorders w:zOrder="back" w:offsetFrom="page">
        <w:top w:val="single" w:sz="48" w:space="31" w:color="283D52"/>
        <w:left w:val="single" w:sz="48" w:space="24" w:color="283D52"/>
        <w:bottom w:val="single" w:sz="48" w:space="24" w:color="283D52"/>
        <w:right w:val="single" w:sz="48" w:space="24" w:color="283D5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DC35" w14:textId="77777777" w:rsidR="00C41BAC" w:rsidRDefault="00C41BAC" w:rsidP="00FD2194">
      <w:pPr>
        <w:spacing w:after="0" w:line="240" w:lineRule="auto"/>
      </w:pPr>
      <w:r>
        <w:separator/>
      </w:r>
    </w:p>
  </w:endnote>
  <w:endnote w:type="continuationSeparator" w:id="0">
    <w:p w14:paraId="197E24AC" w14:textId="77777777" w:rsidR="00C41BAC" w:rsidRDefault="00C41BAC" w:rsidP="00FD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0E56" w14:textId="77777777" w:rsidR="00C41BAC" w:rsidRDefault="00C41BAC" w:rsidP="00FD2194">
      <w:pPr>
        <w:spacing w:after="0" w:line="240" w:lineRule="auto"/>
      </w:pPr>
      <w:r>
        <w:separator/>
      </w:r>
    </w:p>
  </w:footnote>
  <w:footnote w:type="continuationSeparator" w:id="0">
    <w:p w14:paraId="34CD4F9D" w14:textId="77777777" w:rsidR="00C41BAC" w:rsidRDefault="00C41BAC" w:rsidP="00FD2194">
      <w:pPr>
        <w:spacing w:after="0" w:line="240" w:lineRule="auto"/>
      </w:pPr>
      <w:r>
        <w:continuationSeparator/>
      </w:r>
    </w:p>
  </w:footnote>
  <w:footnote w:id="1">
    <w:p w14:paraId="7B70B5AC" w14:textId="6C985696" w:rsidR="00800BCE" w:rsidRPr="00800BCE" w:rsidRDefault="00800BCE">
      <w:pPr>
        <w:pStyle w:val="FootnoteText"/>
        <w:rPr>
          <w:lang w:val="en-US"/>
        </w:rPr>
      </w:pPr>
      <w:r>
        <w:rPr>
          <w:rStyle w:val="FootnoteReference"/>
        </w:rPr>
        <w:footnoteRef/>
      </w:r>
      <w:r>
        <w:t xml:space="preserve"> </w:t>
      </w:r>
      <w:r>
        <w:rPr>
          <w:lang w:val="en-US"/>
        </w:rPr>
        <w:t xml:space="preserve">This </w:t>
      </w:r>
      <w:r>
        <w:rPr>
          <w:i/>
          <w:iCs/>
          <w:lang w:val="en-US"/>
        </w:rPr>
        <w:t xml:space="preserve">devar Torah </w:t>
      </w:r>
      <w:r>
        <w:rPr>
          <w:lang w:val="en-US"/>
        </w:rPr>
        <w:t xml:space="preserve">was originally published in Hebrew, in MMY’s </w:t>
      </w:r>
      <w:hyperlink r:id="rId1" w:history="1">
        <w:r w:rsidRPr="00800BCE">
          <w:rPr>
            <w:rStyle w:val="Hyperlink"/>
            <w:i/>
            <w:iCs/>
            <w:lang w:val="en-US"/>
          </w:rPr>
          <w:t xml:space="preserve">Kol Mevaseret </w:t>
        </w:r>
        <w:r w:rsidRPr="00800BCE">
          <w:rPr>
            <w:rStyle w:val="Hyperlink"/>
            <w:lang w:val="en-US"/>
          </w:rPr>
          <w:t>journal</w:t>
        </w:r>
      </w:hyperlink>
      <w:r>
        <w:rPr>
          <w:lang w:val="en-US"/>
        </w:rPr>
        <w:t xml:space="preserve">, 5770 edition.  You can read the original </w:t>
      </w:r>
      <w:hyperlink r:id="rId2" w:history="1">
        <w:r w:rsidRPr="00800BCE">
          <w:rPr>
            <w:rStyle w:val="Hyperlink"/>
            <w:lang w:val="en-US"/>
          </w:rPr>
          <w:t>here</w:t>
        </w:r>
      </w:hyperlink>
      <w:r>
        <w:rPr>
          <w:lang w:val="en-US"/>
        </w:rPr>
        <w:t>.</w:t>
      </w:r>
    </w:p>
  </w:footnote>
  <w:footnote w:id="2">
    <w:p w14:paraId="48DEBC7F" w14:textId="2E89176C" w:rsidR="004F2C31" w:rsidRPr="004F2C31" w:rsidRDefault="004F2C31">
      <w:pPr>
        <w:pStyle w:val="FootnoteText"/>
        <w:rPr>
          <w:lang w:val="en-US"/>
        </w:rPr>
      </w:pPr>
      <w:r>
        <w:rPr>
          <w:rStyle w:val="FootnoteReference"/>
        </w:rPr>
        <w:footnoteRef/>
      </w:r>
      <w:r>
        <w:t xml:space="preserve"> </w:t>
      </w:r>
      <w:r>
        <w:rPr>
          <w:i/>
          <w:iCs/>
          <w:lang w:val="en-US"/>
        </w:rPr>
        <w:t xml:space="preserve">Rama </w:t>
      </w:r>
      <w:r>
        <w:rPr>
          <w:lang w:val="en-US"/>
        </w:rPr>
        <w:t>OC 504:3</w:t>
      </w:r>
    </w:p>
  </w:footnote>
  <w:footnote w:id="3">
    <w:p w14:paraId="288DCCBF" w14:textId="3C47D39B" w:rsidR="004F2C31" w:rsidRPr="004F2C31" w:rsidRDefault="004F2C31">
      <w:pPr>
        <w:pStyle w:val="FootnoteText"/>
        <w:rPr>
          <w:lang w:val="en-US"/>
        </w:rPr>
      </w:pPr>
      <w:r>
        <w:rPr>
          <w:rStyle w:val="FootnoteReference"/>
        </w:rPr>
        <w:footnoteRef/>
      </w:r>
      <w:r>
        <w:t xml:space="preserve"> </w:t>
      </w:r>
      <w:r>
        <w:rPr>
          <w:lang w:val="en-US"/>
        </w:rPr>
        <w:t xml:space="preserve">For example, the above-quoted </w:t>
      </w:r>
      <w:r>
        <w:rPr>
          <w:i/>
          <w:iCs/>
          <w:lang w:val="en-US"/>
        </w:rPr>
        <w:t xml:space="preserve">Rama </w:t>
      </w:r>
      <w:r>
        <w:rPr>
          <w:lang w:val="en-US"/>
        </w:rPr>
        <w:t xml:space="preserve">suggests that the idea is to eat dairy foods prior to the regular meat meal, which would require us to use two separate loaves of bread, thereby recalling the </w:t>
      </w:r>
      <w:r>
        <w:rPr>
          <w:i/>
          <w:iCs/>
          <w:lang w:val="en-US"/>
        </w:rPr>
        <w:t xml:space="preserve">Shetei HaLechem </w:t>
      </w:r>
      <w:r>
        <w:rPr>
          <w:lang w:val="en-US"/>
        </w:rPr>
        <w:t xml:space="preserve">offering brought on </w:t>
      </w:r>
      <w:r>
        <w:rPr>
          <w:i/>
          <w:iCs/>
          <w:lang w:val="en-US"/>
        </w:rPr>
        <w:t>Shavuot</w:t>
      </w:r>
      <w:r>
        <w:rPr>
          <w:lang w:val="en-US"/>
        </w:rPr>
        <w:t xml:space="preserve">. The </w:t>
      </w:r>
      <w:r>
        <w:rPr>
          <w:i/>
          <w:iCs/>
          <w:lang w:val="en-US"/>
        </w:rPr>
        <w:t>Mishna Berura</w:t>
      </w:r>
      <w:r>
        <w:rPr>
          <w:lang w:val="en-US"/>
        </w:rPr>
        <w:t xml:space="preserve"> (</w:t>
      </w:r>
      <w:r w:rsidR="00DD6BB5">
        <w:rPr>
          <w:lang w:val="en-US"/>
        </w:rPr>
        <w:t>504:12) quotes an opinion that the custom is based on the idea that on the day the Torah was given, the Israelites had to eat dairy because they had no properly-slaughtered meat in their homes and no kosher dishes, and the custom of eating dairy foods is meant to recall this dedication. There are also other suggestions</w:t>
      </w:r>
    </w:p>
  </w:footnote>
  <w:footnote w:id="4">
    <w:p w14:paraId="0B4C3784" w14:textId="23D6B3F5" w:rsidR="00DD6BB5" w:rsidRPr="00DD6BB5" w:rsidRDefault="00DD6BB5">
      <w:pPr>
        <w:pStyle w:val="FootnoteText"/>
        <w:rPr>
          <w:lang w:val="en-US"/>
        </w:rPr>
      </w:pPr>
      <w:r>
        <w:rPr>
          <w:rStyle w:val="FootnoteReference"/>
        </w:rPr>
        <w:footnoteRef/>
      </w:r>
      <w:r>
        <w:t xml:space="preserve"> </w:t>
      </w:r>
      <w:r>
        <w:rPr>
          <w:lang w:val="en-US"/>
        </w:rPr>
        <w:t xml:space="preserve">Ch. 52, s.v. </w:t>
      </w:r>
      <w:r>
        <w:rPr>
          <w:i/>
          <w:iCs/>
          <w:lang w:val="en-US"/>
        </w:rPr>
        <w:t>Vezehu Seder</w:t>
      </w:r>
    </w:p>
  </w:footnote>
  <w:footnote w:id="5">
    <w:p w14:paraId="0953B623" w14:textId="37F9282A" w:rsidR="00DD6BB5" w:rsidRPr="00DD6BB5" w:rsidRDefault="00DD6BB5">
      <w:pPr>
        <w:pStyle w:val="FootnoteText"/>
        <w:rPr>
          <w:lang w:val="en-US"/>
        </w:rPr>
      </w:pPr>
      <w:r>
        <w:rPr>
          <w:rStyle w:val="FootnoteReference"/>
        </w:rPr>
        <w:footnoteRef/>
      </w:r>
      <w:r>
        <w:t xml:space="preserve"> </w:t>
      </w:r>
      <w:r>
        <w:rPr>
          <w:lang w:val="en-US"/>
        </w:rPr>
        <w:t>It is noteworthy that, like the Torah, the land of Israel is also associated with these two foods: “a land flowing with milk and honey” (</w:t>
      </w:r>
      <w:r>
        <w:rPr>
          <w:i/>
          <w:iCs/>
          <w:lang w:val="en-US"/>
        </w:rPr>
        <w:t xml:space="preserve">Shemot </w:t>
      </w:r>
      <w:r>
        <w:rPr>
          <w:lang w:val="en-US"/>
        </w:rPr>
        <w:t>3:8 and many other places). However, the significance of this parallel is beyond the scope of this essay.</w:t>
      </w:r>
    </w:p>
  </w:footnote>
  <w:footnote w:id="6">
    <w:p w14:paraId="63B69FC0" w14:textId="6B2EAC8B" w:rsidR="00800BCE" w:rsidRPr="00800BCE" w:rsidRDefault="00800BCE">
      <w:pPr>
        <w:pStyle w:val="FootnoteText"/>
        <w:rPr>
          <w:lang w:val="en-US"/>
        </w:rPr>
      </w:pPr>
      <w:r>
        <w:rPr>
          <w:rStyle w:val="FootnoteReference"/>
        </w:rPr>
        <w:footnoteRef/>
      </w:r>
      <w:r>
        <w:t xml:space="preserve"> </w:t>
      </w:r>
      <w:r>
        <w:rPr>
          <w:lang w:val="en-US"/>
        </w:rPr>
        <w:t xml:space="preserve">See BT </w:t>
      </w:r>
      <w:r>
        <w:rPr>
          <w:i/>
          <w:iCs/>
          <w:lang w:val="en-US"/>
        </w:rPr>
        <w:t xml:space="preserve">Shabbat </w:t>
      </w:r>
      <w:r>
        <w:rPr>
          <w:lang w:val="en-US"/>
        </w:rPr>
        <w:t xml:space="preserve">86b, which records a debate among </w:t>
      </w:r>
      <w:r>
        <w:rPr>
          <w:i/>
          <w:iCs/>
          <w:lang w:val="en-US"/>
        </w:rPr>
        <w:t xml:space="preserve">Tanaim </w:t>
      </w:r>
      <w:r>
        <w:rPr>
          <w:lang w:val="en-US"/>
        </w:rPr>
        <w:t>whether the Revelation at Sinai took place on the 6</w:t>
      </w:r>
      <w:r w:rsidRPr="00800BCE">
        <w:rPr>
          <w:vertAlign w:val="superscript"/>
          <w:lang w:val="en-US"/>
        </w:rPr>
        <w:t>th</w:t>
      </w:r>
      <w:r>
        <w:rPr>
          <w:lang w:val="en-US"/>
        </w:rPr>
        <w:t xml:space="preserve"> of 7</w:t>
      </w:r>
      <w:r w:rsidRPr="00800BCE">
        <w:rPr>
          <w:vertAlign w:val="superscript"/>
          <w:lang w:val="en-US"/>
        </w:rPr>
        <w:t>th</w:t>
      </w:r>
      <w:r>
        <w:rPr>
          <w:lang w:val="en-US"/>
        </w:rPr>
        <w:t xml:space="preserve"> of </w:t>
      </w:r>
      <w:r>
        <w:rPr>
          <w:i/>
          <w:iCs/>
          <w:lang w:val="en-US"/>
        </w:rPr>
        <w:t>Sivan</w:t>
      </w:r>
      <w:r>
        <w:rPr>
          <w:lang w:val="en-US"/>
        </w:rPr>
        <w:t>.</w:t>
      </w:r>
    </w:p>
  </w:footnote>
  <w:footnote w:id="7">
    <w:p w14:paraId="71C54FD8" w14:textId="2FC442B0" w:rsidR="00800BCE" w:rsidRPr="00800BCE" w:rsidRDefault="00800BCE">
      <w:pPr>
        <w:pStyle w:val="FootnoteText"/>
        <w:rPr>
          <w:lang w:val="en-US"/>
        </w:rPr>
      </w:pPr>
      <w:r>
        <w:rPr>
          <w:rStyle w:val="FootnoteReference"/>
        </w:rPr>
        <w:footnoteRef/>
      </w:r>
      <w:r>
        <w:t xml:space="preserve"> </w:t>
      </w:r>
      <w:r>
        <w:rPr>
          <w:i/>
          <w:iCs/>
          <w:lang w:val="en-US"/>
        </w:rPr>
        <w:t xml:space="preserve">Shemot </w:t>
      </w:r>
      <w:r>
        <w:rPr>
          <w:lang w:val="en-US"/>
        </w:rPr>
        <w:t>23:16</w:t>
      </w:r>
    </w:p>
  </w:footnote>
  <w:footnote w:id="8">
    <w:p w14:paraId="20C79F30" w14:textId="1410E4CC" w:rsidR="00D93DD7" w:rsidRPr="00D93DD7" w:rsidRDefault="00D93DD7">
      <w:pPr>
        <w:pStyle w:val="FootnoteText"/>
        <w:rPr>
          <w:lang w:val="en-US"/>
        </w:rPr>
      </w:pPr>
      <w:r>
        <w:rPr>
          <w:rStyle w:val="FootnoteReference"/>
        </w:rPr>
        <w:footnoteRef/>
      </w:r>
      <w:r>
        <w:t xml:space="preserve"> </w:t>
      </w:r>
      <w:r>
        <w:rPr>
          <w:i/>
          <w:iCs/>
          <w:lang w:val="en-US"/>
        </w:rPr>
        <w:t xml:space="preserve">Bamidbar </w:t>
      </w:r>
      <w:r>
        <w:rPr>
          <w:lang w:val="en-US"/>
        </w:rPr>
        <w:t>28:26</w:t>
      </w:r>
    </w:p>
  </w:footnote>
  <w:footnote w:id="9">
    <w:p w14:paraId="591CAD51" w14:textId="17BCDB1C" w:rsidR="009F02DF" w:rsidRPr="009F02DF" w:rsidRDefault="009F02DF">
      <w:pPr>
        <w:pStyle w:val="FootnoteText"/>
        <w:rPr>
          <w:lang w:val="en-US"/>
        </w:rPr>
      </w:pPr>
      <w:r>
        <w:rPr>
          <w:rStyle w:val="FootnoteReference"/>
        </w:rPr>
        <w:footnoteRef/>
      </w:r>
      <w:r>
        <w:t xml:space="preserve"> </w:t>
      </w:r>
      <w:r>
        <w:rPr>
          <w:lang w:val="en-US"/>
        </w:rPr>
        <w:t xml:space="preserve">See Rambam, </w:t>
      </w:r>
      <w:r>
        <w:rPr>
          <w:i/>
          <w:iCs/>
          <w:lang w:val="en-US"/>
        </w:rPr>
        <w:t xml:space="preserve">Hilchot Teshuva </w:t>
      </w:r>
      <w:r>
        <w:rPr>
          <w:lang w:val="en-US"/>
        </w:rPr>
        <w:t>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E256" w14:textId="721FD1A8" w:rsidR="00FD2194" w:rsidRDefault="00FF7583" w:rsidP="00FF7583">
    <w:pPr>
      <w:pStyle w:val="Header"/>
      <w:tabs>
        <w:tab w:val="clear" w:pos="4513"/>
        <w:tab w:val="clear" w:pos="9026"/>
        <w:tab w:val="left" w:pos="103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DD9C" w14:textId="4D8D5264" w:rsidR="00FF7583" w:rsidRDefault="00FF7583" w:rsidP="00FF7583">
    <w:pPr>
      <w:pStyle w:val="Header"/>
    </w:pPr>
    <w:r>
      <w:rPr>
        <w:noProof/>
      </w:rPr>
      <w:drawing>
        <wp:anchor distT="0" distB="0" distL="114300" distR="114300" simplePos="0" relativeHeight="251662336" behindDoc="0" locked="0" layoutInCell="1" allowOverlap="1" wp14:anchorId="039A8411" wp14:editId="5B33DDB3">
          <wp:simplePos x="0" y="0"/>
          <wp:positionH relativeFrom="column">
            <wp:posOffset>-647700</wp:posOffset>
          </wp:positionH>
          <wp:positionV relativeFrom="page">
            <wp:posOffset>57150</wp:posOffset>
          </wp:positionV>
          <wp:extent cx="774700" cy="774700"/>
          <wp:effectExtent l="0" t="0" r="0" b="0"/>
          <wp:wrapNone/>
          <wp:docPr id="1420739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39465" name="Picture 1420739465"/>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2A321D">
      <w:rPr>
        <w:noProof/>
      </w:rPr>
      <mc:AlternateContent>
        <mc:Choice Requires="wps">
          <w:drawing>
            <wp:anchor distT="0" distB="0" distL="118745" distR="118745" simplePos="0" relativeHeight="251661312" behindDoc="1" locked="0" layoutInCell="1" allowOverlap="0" wp14:anchorId="61B12AFA" wp14:editId="79D72402">
              <wp:simplePos x="0" y="0"/>
              <wp:positionH relativeFrom="margin">
                <wp:posOffset>-908050</wp:posOffset>
              </wp:positionH>
              <wp:positionV relativeFrom="page">
                <wp:posOffset>635</wp:posOffset>
              </wp:positionV>
              <wp:extent cx="7526655" cy="916305"/>
              <wp:effectExtent l="0" t="635" r="1270" b="0"/>
              <wp:wrapSquare wrapText="bothSides"/>
              <wp:docPr id="2655623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6655" cy="916305"/>
                      </a:xfrm>
                      <a:prstGeom prst="rect">
                        <a:avLst/>
                      </a:prstGeom>
                      <a:solidFill>
                        <a:srgbClr val="283D52"/>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C515CC6" w14:textId="24E1A171" w:rsidR="00FF7583" w:rsidRPr="004A1BC4" w:rsidRDefault="00FF7583" w:rsidP="00FF7583">
                          <w:pPr>
                            <w:pStyle w:val="Header"/>
                            <w:jc w:val="center"/>
                            <w:rPr>
                              <w:rFonts w:ascii="Arial Rounded MT Bold" w:hAnsi="Arial Rounded MT Bold"/>
                              <w:caps/>
                              <w:color w:val="FFFFFF" w:themeColor="background1"/>
                              <w:sz w:val="56"/>
                              <w:szCs w:val="56"/>
                              <w:lang w:val="en-US"/>
                            </w:rPr>
                          </w:pPr>
                          <w:r w:rsidRPr="004A1BC4">
                            <w:rPr>
                              <w:rFonts w:ascii="Arial Rounded MT Bold" w:hAnsi="Arial Rounded MT Bold"/>
                              <w:caps/>
                              <w:color w:val="FFFFFF" w:themeColor="background1"/>
                              <w:sz w:val="56"/>
                              <w:szCs w:val="56"/>
                              <w:lang w:val="en-US"/>
                            </w:rPr>
                            <w:t>Rabbi Alan Haber</w:t>
                          </w:r>
                        </w:p>
                        <w:p w14:paraId="60854D2A" w14:textId="3BCE3628" w:rsidR="007862AA" w:rsidRPr="004A1BC4" w:rsidRDefault="004501FD" w:rsidP="00FF7583">
                          <w:pPr>
                            <w:pStyle w:val="Header"/>
                            <w:jc w:val="center"/>
                            <w:rPr>
                              <w:rFonts w:ascii="Arial Rounded MT Bold" w:hAnsi="Arial Rounded MT Bold"/>
                              <w:caps/>
                              <w:color w:val="FFFFFF" w:themeColor="background1"/>
                              <w:lang w:val="en-US"/>
                            </w:rPr>
                          </w:pPr>
                          <w:r w:rsidRPr="004A1BC4">
                            <w:rPr>
                              <w:rFonts w:ascii="Arial Rounded MT Bold" w:hAnsi="Arial Rounded MT Bold"/>
                              <w:caps/>
                              <w:color w:val="FFFFFF" w:themeColor="background1"/>
                              <w:lang w:val="en-US"/>
                            </w:rPr>
                            <w:t xml:space="preserve">Rechov </w:t>
                          </w:r>
                          <w:r w:rsidR="007862AA" w:rsidRPr="004A1BC4">
                            <w:rPr>
                              <w:rFonts w:ascii="Arial Rounded MT Bold" w:hAnsi="Arial Rounded MT Bold"/>
                              <w:caps/>
                              <w:color w:val="FFFFFF" w:themeColor="background1"/>
                              <w:lang w:val="en-US"/>
                            </w:rPr>
                            <w:t>Hazayit 2/3</w:t>
                          </w:r>
                          <w:r w:rsidRPr="004A1BC4">
                            <w:rPr>
                              <w:rFonts w:ascii="Arial Rounded MT Bold" w:hAnsi="Arial Rounded MT Bold"/>
                              <w:caps/>
                              <w:color w:val="FFFFFF" w:themeColor="background1"/>
                              <w:rtl/>
                              <w:lang w:val="en-US"/>
                            </w:rPr>
                            <w:br/>
                          </w:r>
                          <w:r w:rsidR="007862AA" w:rsidRPr="004A1BC4">
                            <w:rPr>
                              <w:rFonts w:ascii="Arial Rounded MT Bold" w:hAnsi="Arial Rounded MT Bold"/>
                              <w:caps/>
                              <w:color w:val="FFFFFF" w:themeColor="background1"/>
                              <w:lang w:val="en-US"/>
                            </w:rPr>
                            <w:t>Alon Shevut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1B12AFA" id="Rectangle 63" o:spid="_x0000_s1026" style="position:absolute;margin-left:-71.5pt;margin-top:.05pt;width:592.65pt;height:72.15pt;z-index:-25165516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" o:allowoverlap="f" fillcolor="#283d52" stroked="f" strokeweight="1pt">
              <v:textbox>
                <w:txbxContent>
                  <w:p w14:paraId="3C515CC6" w14:textId="24E1A171" w:rsidR="00FF7583" w:rsidRPr="004A1BC4" w:rsidRDefault="00FF7583" w:rsidP="00FF7583">
                    <w:pPr>
                      <w:pStyle w:val="Header"/>
                      <w:jc w:val="center"/>
                      <w:rPr>
                        <w:rFonts w:ascii="Arial Rounded MT Bold" w:hAnsi="Arial Rounded MT Bold"/>
                        <w:caps/>
                        <w:color w:val="FFFFFF" w:themeColor="background1"/>
                        <w:sz w:val="56"/>
                        <w:szCs w:val="56"/>
                        <w:lang w:val="en-US"/>
                      </w:rPr>
                    </w:pPr>
                    <w:r w:rsidRPr="004A1BC4">
                      <w:rPr>
                        <w:rFonts w:ascii="Arial Rounded MT Bold" w:hAnsi="Arial Rounded MT Bold"/>
                        <w:caps/>
                        <w:color w:val="FFFFFF" w:themeColor="background1"/>
                        <w:sz w:val="56"/>
                        <w:szCs w:val="56"/>
                        <w:lang w:val="en-US"/>
                      </w:rPr>
                      <w:t>Rabbi Alan Haber</w:t>
                    </w:r>
                  </w:p>
                  <w:p w14:paraId="60854D2A" w14:textId="3BCE3628" w:rsidR="007862AA" w:rsidRPr="004A1BC4" w:rsidRDefault="004501FD" w:rsidP="00FF7583">
                    <w:pPr>
                      <w:pStyle w:val="Header"/>
                      <w:jc w:val="center"/>
                      <w:rPr>
                        <w:rFonts w:ascii="Arial Rounded MT Bold" w:hAnsi="Arial Rounded MT Bold"/>
                        <w:caps/>
                        <w:color w:val="FFFFFF" w:themeColor="background1"/>
                        <w:lang w:val="en-US"/>
                      </w:rPr>
                    </w:pPr>
                    <w:r w:rsidRPr="004A1BC4">
                      <w:rPr>
                        <w:rFonts w:ascii="Arial Rounded MT Bold" w:hAnsi="Arial Rounded MT Bold"/>
                        <w:caps/>
                        <w:color w:val="FFFFFF" w:themeColor="background1"/>
                        <w:lang w:val="en-US"/>
                      </w:rPr>
                      <w:t xml:space="preserve">Rechov </w:t>
                    </w:r>
                    <w:r w:rsidR="007862AA" w:rsidRPr="004A1BC4">
                      <w:rPr>
                        <w:rFonts w:ascii="Arial Rounded MT Bold" w:hAnsi="Arial Rounded MT Bold"/>
                        <w:caps/>
                        <w:color w:val="FFFFFF" w:themeColor="background1"/>
                        <w:lang w:val="en-US"/>
                      </w:rPr>
                      <w:t>Hazayit 2/3</w:t>
                    </w:r>
                    <w:r w:rsidRPr="004A1BC4">
                      <w:rPr>
                        <w:rFonts w:ascii="Arial Rounded MT Bold" w:hAnsi="Arial Rounded MT Bold"/>
                        <w:caps/>
                        <w:color w:val="FFFFFF" w:themeColor="background1"/>
                        <w:rtl/>
                        <w:lang w:val="en-US"/>
                      </w:rPr>
                      <w:br/>
                    </w:r>
                    <w:r w:rsidR="007862AA" w:rsidRPr="004A1BC4">
                      <w:rPr>
                        <w:rFonts w:ascii="Arial Rounded MT Bold" w:hAnsi="Arial Rounded MT Bold"/>
                        <w:caps/>
                        <w:color w:val="FFFFFF" w:themeColor="background1"/>
                        <w:lang w:val="en-US"/>
                      </w:rPr>
                      <w:t>Alon Shevut</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94"/>
    <w:rsid w:val="00097BFB"/>
    <w:rsid w:val="002A321D"/>
    <w:rsid w:val="003C6781"/>
    <w:rsid w:val="003D219B"/>
    <w:rsid w:val="004501FD"/>
    <w:rsid w:val="004A1BC4"/>
    <w:rsid w:val="004C6B75"/>
    <w:rsid w:val="004F2C31"/>
    <w:rsid w:val="007862AA"/>
    <w:rsid w:val="00800BCE"/>
    <w:rsid w:val="00877E80"/>
    <w:rsid w:val="008A5D77"/>
    <w:rsid w:val="009F02DF"/>
    <w:rsid w:val="00A2100E"/>
    <w:rsid w:val="00AB50DA"/>
    <w:rsid w:val="00AF52C8"/>
    <w:rsid w:val="00B44209"/>
    <w:rsid w:val="00C17FC7"/>
    <w:rsid w:val="00C41BAC"/>
    <w:rsid w:val="00CF0CB2"/>
    <w:rsid w:val="00D93DD7"/>
    <w:rsid w:val="00DD6BB5"/>
    <w:rsid w:val="00F11115"/>
    <w:rsid w:val="00F166BA"/>
    <w:rsid w:val="00FA6008"/>
    <w:rsid w:val="00FD2194"/>
    <w:rsid w:val="00FF758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019C8"/>
  <w15:chartTrackingRefBased/>
  <w15:docId w15:val="{DB2C3935-4EF2-4674-9EAC-E0E41ACD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194"/>
  </w:style>
  <w:style w:type="paragraph" w:styleId="Footer">
    <w:name w:val="footer"/>
    <w:basedOn w:val="Normal"/>
    <w:link w:val="FooterChar"/>
    <w:uiPriority w:val="99"/>
    <w:unhideWhenUsed/>
    <w:rsid w:val="00FD2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194"/>
  </w:style>
  <w:style w:type="paragraph" w:styleId="FootnoteText">
    <w:name w:val="footnote text"/>
    <w:basedOn w:val="Normal"/>
    <w:link w:val="FootnoteTextChar"/>
    <w:uiPriority w:val="99"/>
    <w:semiHidden/>
    <w:unhideWhenUsed/>
    <w:rsid w:val="004F2C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C31"/>
    <w:rPr>
      <w:sz w:val="20"/>
      <w:szCs w:val="20"/>
    </w:rPr>
  </w:style>
  <w:style w:type="character" w:styleId="FootnoteReference">
    <w:name w:val="footnote reference"/>
    <w:basedOn w:val="DefaultParagraphFont"/>
    <w:uiPriority w:val="99"/>
    <w:semiHidden/>
    <w:unhideWhenUsed/>
    <w:rsid w:val="004F2C31"/>
    <w:rPr>
      <w:vertAlign w:val="superscript"/>
    </w:rPr>
  </w:style>
  <w:style w:type="character" w:styleId="Hyperlink">
    <w:name w:val="Hyperlink"/>
    <w:basedOn w:val="DefaultParagraphFont"/>
    <w:uiPriority w:val="99"/>
    <w:unhideWhenUsed/>
    <w:rsid w:val="00800BCE"/>
    <w:rPr>
      <w:color w:val="0563C1" w:themeColor="hyperlink"/>
      <w:u w:val="single"/>
    </w:rPr>
  </w:style>
  <w:style w:type="character" w:styleId="UnresolvedMention">
    <w:name w:val="Unresolved Mention"/>
    <w:basedOn w:val="DefaultParagraphFont"/>
    <w:uiPriority w:val="99"/>
    <w:semiHidden/>
    <w:unhideWhenUsed/>
    <w:rsid w:val="00800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abbihaber.net/wp-content/uploads/2023/05/%D7%9E%D7%90%D7%9B%D7%9C%D7%99-%D7%97%D7%9C%D7%91-%D7%91%D7%97%D7%92-%D7%94%D7%A9%D7%91%D7%95%D7%A2%D7%95%D7%AA.pdf" TargetMode="External"/><Relationship Id="rId1" Type="http://schemas.openxmlformats.org/officeDocument/2006/relationships/hyperlink" Target="https://mevaseret.org/kol-mevaser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E0DCE-F76B-4661-B1BC-64E43A34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1240</Words>
  <Characters>5744</Characters>
  <Application>Microsoft Office Word</Application>
  <DocSecurity>0</DocSecurity>
  <Lines>140</Lines>
  <Paragraphs>81</Paragraphs>
  <ScaleCrop>false</ScaleCrop>
  <HeadingPairs>
    <vt:vector size="2" baseType="variant">
      <vt:variant>
        <vt:lpstr>Title</vt:lpstr>
      </vt:variant>
      <vt:variant>
        <vt:i4>1</vt:i4>
      </vt:variant>
    </vt:vector>
  </HeadingPairs>
  <TitlesOfParts>
    <vt:vector size="1" baseType="lpstr">
      <vt:lpstr>Rabbi alan haber`</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Rabbi alan haber`</dc:title>
  <dc:subject/>
  <dc:creator>Alan Haber</dc:creator>
  <cp:keywords/>
  <dc:description/>
  <cp:lastModifiedBy>Alan Haber</cp:lastModifiedBy>
  <cp:revision>8</cp:revision>
  <cp:lastPrinted>2023-05-24T18:12:00Z</cp:lastPrinted>
  <dcterms:created xsi:type="dcterms:W3CDTF">2023-05-24T11:42:00Z</dcterms:created>
  <dcterms:modified xsi:type="dcterms:W3CDTF">2023-05-25T05:29:00Z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e1a68fce-2e97-4313-baf2-a59a6ced27fb</vt:lpwstr>
  </property>
</Properties>
</file>