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82B" w14:textId="2F814355" w:rsidR="00E84C14" w:rsidRPr="00C1023C" w:rsidRDefault="002874C2" w:rsidP="00405665">
      <w:pPr>
        <w:pStyle w:val="a8"/>
        <w:rPr>
          <w:rtl/>
        </w:rPr>
      </w:pPr>
      <w:r>
        <w:rPr>
          <w:rFonts w:hint="cs"/>
          <w:rtl/>
        </w:rPr>
        <w:t xml:space="preserve">ד"ר </w:t>
      </w:r>
      <w:r w:rsidR="00EB5E4B">
        <w:rPr>
          <w:rFonts w:hint="cs"/>
          <w:rtl/>
        </w:rPr>
        <w:t>יונתן פיינטוך</w:t>
      </w:r>
    </w:p>
    <w:p w14:paraId="4F16E46F" w14:textId="6DA74745" w:rsidR="002874C2" w:rsidRPr="00B9288F" w:rsidRDefault="00EA4B83" w:rsidP="002403F4">
      <w:pPr>
        <w:pStyle w:val="1"/>
        <w:rPr>
          <w:rFonts w:eastAsia="David"/>
        </w:rPr>
      </w:pPr>
      <w:r>
        <w:rPr>
          <w:rFonts w:eastAsia="David" w:hint="cs"/>
          <w:rtl/>
        </w:rPr>
        <w:t>1</w:t>
      </w:r>
      <w:r w:rsidR="00895667">
        <w:rPr>
          <w:rFonts w:eastAsia="David" w:hint="cs"/>
          <w:rtl/>
        </w:rPr>
        <w:t>8</w:t>
      </w:r>
      <w:r w:rsidR="002874C2">
        <w:rPr>
          <w:rFonts w:eastAsia="David" w:hint="cs"/>
          <w:rtl/>
        </w:rPr>
        <w:t xml:space="preserve"> </w:t>
      </w:r>
      <w:r w:rsidR="00606A56" w:rsidRPr="00606A56">
        <w:rPr>
          <w:rtl/>
        </w:rPr>
        <w:t xml:space="preserve">סיפור </w:t>
      </w:r>
      <w:r w:rsidR="00895667">
        <w:rPr>
          <w:rFonts w:hint="cs"/>
          <w:rtl/>
        </w:rPr>
        <w:t>כשעלה משה למרום</w:t>
      </w:r>
      <w:r w:rsidR="00606A56" w:rsidRPr="00606A56">
        <w:rPr>
          <w:rtl/>
        </w:rPr>
        <w:t xml:space="preserve"> </w:t>
      </w:r>
      <w:r w:rsidR="00FE2B67">
        <w:rPr>
          <w:rFonts w:hint="cs"/>
          <w:rtl/>
        </w:rPr>
        <w:t>(</w:t>
      </w:r>
      <w:r w:rsidR="00895667">
        <w:rPr>
          <w:rFonts w:hint="cs"/>
          <w:rtl/>
        </w:rPr>
        <w:t>1</w:t>
      </w:r>
      <w:r w:rsidR="002403F4" w:rsidRPr="002403F4">
        <w:rPr>
          <w:rtl/>
        </w:rPr>
        <w:t>)</w:t>
      </w:r>
    </w:p>
    <w:p w14:paraId="730AAF92" w14:textId="77777777" w:rsidR="002874C2" w:rsidRPr="00183E57" w:rsidRDefault="002874C2" w:rsidP="00E4408D">
      <w:pPr>
        <w:rPr>
          <w:rFonts w:eastAsia="David"/>
        </w:rPr>
      </w:pPr>
    </w:p>
    <w:p w14:paraId="622FD121" w14:textId="2682A8C0" w:rsidR="00895667" w:rsidRDefault="00895667" w:rsidP="00895667">
      <w:pPr>
        <w:rPr>
          <w:rtl/>
        </w:rPr>
      </w:pPr>
      <w:r w:rsidRPr="005D0448">
        <w:rPr>
          <w:rtl/>
        </w:rPr>
        <w:t xml:space="preserve">אחד הסיפורים </w:t>
      </w:r>
      <w:r>
        <w:rPr>
          <w:rFonts w:hint="cs"/>
          <w:rtl/>
        </w:rPr>
        <w:t>שנכתב עליהם רבות הוא הסיפור על עליית משה למרום, והמפגש עם ר' עקיבא, תורתו, וסופו הטרגי. בשיעורים הבאים אתייחס בקצרה לסיפור עצמו,</w:t>
      </w:r>
      <w:r>
        <w:rPr>
          <w:rStyle w:val="a5"/>
          <w:rtl/>
        </w:rPr>
        <w:footnoteReference w:id="1"/>
      </w:r>
      <w:r>
        <w:rPr>
          <w:rFonts w:hint="cs"/>
          <w:rtl/>
        </w:rPr>
        <w:t xml:space="preserve">ובעיקר אנסה להתבונן ב'שיח' בינו לסיפור קצר של ר' נחמן ותורות חסידיות נוספות. </w:t>
      </w:r>
    </w:p>
    <w:p w14:paraId="7D909D18" w14:textId="77777777" w:rsidR="00895667" w:rsidRDefault="00895667" w:rsidP="00895667">
      <w:pPr>
        <w:rPr>
          <w:rFonts w:hint="cs"/>
          <w:rtl/>
        </w:rPr>
      </w:pPr>
    </w:p>
    <w:p w14:paraId="5F76C676" w14:textId="77777777" w:rsidR="00895667" w:rsidRPr="005D0448" w:rsidRDefault="00895667" w:rsidP="00895667">
      <w:pPr>
        <w:pStyle w:val="2"/>
        <w:spacing w:before="240" w:after="120"/>
        <w:rPr>
          <w:rtl/>
        </w:rPr>
      </w:pPr>
      <w:r w:rsidRPr="005D0448">
        <w:rPr>
          <w:rtl/>
        </w:rPr>
        <w:t xml:space="preserve">א. </w:t>
      </w:r>
      <w:r>
        <w:rPr>
          <w:rFonts w:hint="cs"/>
          <w:rtl/>
        </w:rPr>
        <w:t>הסיפור</w:t>
      </w:r>
      <w:r w:rsidRPr="005D0448">
        <w:rPr>
          <w:rtl/>
        </w:rPr>
        <w:t xml:space="preserve"> </w:t>
      </w:r>
      <w:r w:rsidRPr="00121A08">
        <w:rPr>
          <w:rtl/>
        </w:rPr>
        <w:t>(בבלי מנחות כט ע"ב)</w:t>
      </w:r>
    </w:p>
    <w:p w14:paraId="6AA89726" w14:textId="79975672" w:rsidR="00895667" w:rsidRDefault="00895667" w:rsidP="00895667">
      <w:pPr>
        <w:pStyle w:val="a9"/>
        <w:jc w:val="left"/>
        <w:rPr>
          <w:rtl/>
        </w:rPr>
      </w:pPr>
      <w:r w:rsidRPr="005D0448">
        <w:rPr>
          <w:rtl/>
        </w:rPr>
        <w:t xml:space="preserve">1 אמר רב יהודה אמר רב: בשעה שעלה משה למרום מצאו להקב"ה שיושב וקושר כתרים לאותיות.  </w:t>
      </w:r>
      <w:r>
        <w:rPr>
          <w:rtl/>
        </w:rPr>
        <w:br/>
      </w:r>
      <w:r w:rsidRPr="005D0448">
        <w:rPr>
          <w:rtl/>
        </w:rPr>
        <w:t>2 אמר לפניו רבונו של עולם מי מעכב על ידך?</w:t>
      </w:r>
      <w:r>
        <w:rPr>
          <w:rtl/>
        </w:rPr>
        <w:br/>
      </w:r>
      <w:r w:rsidRPr="005D0448">
        <w:rPr>
          <w:rtl/>
        </w:rPr>
        <w:t xml:space="preserve">3 אמר לו אדם אחד יש שעתיד להיות בסוף כמה דורות ועקיבא בן יוסף שמו שעתיד לדרוש על כל קוץ וקוץ תילין תילין של הלכות </w:t>
      </w:r>
      <w:r>
        <w:rPr>
          <w:rtl/>
        </w:rPr>
        <w:br/>
      </w:r>
      <w:r w:rsidRPr="005D0448">
        <w:rPr>
          <w:rtl/>
        </w:rPr>
        <w:t xml:space="preserve">4 אמר לפניו רבונו של עולם הראהו לי </w:t>
      </w:r>
      <w:r>
        <w:rPr>
          <w:rtl/>
        </w:rPr>
        <w:br/>
      </w:r>
      <w:r w:rsidRPr="005D0448">
        <w:rPr>
          <w:rtl/>
        </w:rPr>
        <w:t xml:space="preserve">5 אמר לו חזור לאחורך </w:t>
      </w:r>
      <w:r>
        <w:rPr>
          <w:rtl/>
        </w:rPr>
        <w:br/>
      </w:r>
      <w:r w:rsidRPr="005D0448">
        <w:rPr>
          <w:rtl/>
        </w:rPr>
        <w:t>6 הלך וישב בסוף שמונה שורות ולא היה יודע מה הן אומרים, תשש כחו. כיון שהגיע לדבר אחד אמרו לו תלמידיו: רבי, מניין לך? אמר להן הלכה למשה מסיני. נתיישבה דעתו.</w:t>
      </w:r>
      <w:r>
        <w:rPr>
          <w:rtl/>
        </w:rPr>
        <w:br/>
      </w:r>
      <w:r w:rsidRPr="005D0448">
        <w:rPr>
          <w:rtl/>
        </w:rPr>
        <w:t xml:space="preserve">7 חזר ובא לפני </w:t>
      </w:r>
      <w:r w:rsidRPr="00895667">
        <w:rPr>
          <w:rtl/>
        </w:rPr>
        <w:t>הקדוש</w:t>
      </w:r>
      <w:r w:rsidRPr="005D0448">
        <w:rPr>
          <w:rtl/>
        </w:rPr>
        <w:t xml:space="preserve"> ברוך הוא, אמר לפניו: רבונו של עולם יש לך אדם כזה ואתה נותן תורה על ידי? </w:t>
      </w:r>
      <w:r>
        <w:rPr>
          <w:rtl/>
        </w:rPr>
        <w:br/>
      </w:r>
      <w:r w:rsidRPr="005D0448">
        <w:rPr>
          <w:rtl/>
        </w:rPr>
        <w:t xml:space="preserve">8 אמר לו: שתוק כך עלה במחשבה לפני </w:t>
      </w:r>
      <w:r>
        <w:rPr>
          <w:rtl/>
        </w:rPr>
        <w:br/>
      </w:r>
      <w:r w:rsidRPr="005D0448">
        <w:rPr>
          <w:rtl/>
        </w:rPr>
        <w:t xml:space="preserve">9 אמר לפניו: רבונו של עולם, הראיתני תורתו הראני שכרו </w:t>
      </w:r>
      <w:r>
        <w:rPr>
          <w:rtl/>
        </w:rPr>
        <w:br/>
      </w:r>
      <w:r w:rsidRPr="005D0448">
        <w:rPr>
          <w:rtl/>
        </w:rPr>
        <w:t xml:space="preserve">10 אמר לו חזור לאחורך </w:t>
      </w:r>
      <w:r>
        <w:rPr>
          <w:rtl/>
        </w:rPr>
        <w:br/>
      </w:r>
      <w:r w:rsidRPr="005D0448">
        <w:rPr>
          <w:rtl/>
        </w:rPr>
        <w:t xml:space="preserve">11 חזר לאחוריו ראה ששוקלין בשרו במקולין </w:t>
      </w:r>
      <w:r>
        <w:rPr>
          <w:rtl/>
        </w:rPr>
        <w:br/>
      </w:r>
      <w:r w:rsidRPr="005D0448">
        <w:rPr>
          <w:rtl/>
        </w:rPr>
        <w:t>12 אמר לפניו, רבש"ע זו תורה וזו שכרה?</w:t>
      </w:r>
      <w:r>
        <w:rPr>
          <w:rtl/>
        </w:rPr>
        <w:br/>
      </w:r>
      <w:r w:rsidRPr="005D0448">
        <w:rPr>
          <w:rtl/>
        </w:rPr>
        <w:t>13 אמר לו שתוק כך עלה במחשבה לפני.</w:t>
      </w:r>
    </w:p>
    <w:p w14:paraId="3DDC54BE" w14:textId="77777777" w:rsidR="00895667" w:rsidRDefault="00895667" w:rsidP="00895667">
      <w:pPr>
        <w:rPr>
          <w:rtl/>
        </w:rPr>
      </w:pPr>
    </w:p>
    <w:p w14:paraId="60BB776D" w14:textId="77777777" w:rsidR="00895667" w:rsidRPr="005D0448" w:rsidRDefault="00895667" w:rsidP="00895667">
      <w:pPr>
        <w:pStyle w:val="2"/>
        <w:spacing w:before="240" w:after="120"/>
        <w:rPr>
          <w:rtl/>
        </w:rPr>
      </w:pPr>
      <w:r w:rsidRPr="005D0448">
        <w:rPr>
          <w:rtl/>
        </w:rPr>
        <w:t>ב. מבנה הסיפור</w:t>
      </w:r>
    </w:p>
    <w:p w14:paraId="12E17CA6" w14:textId="77777777" w:rsidR="00895667" w:rsidRPr="005D0448" w:rsidRDefault="00895667" w:rsidP="00895667">
      <w:pPr>
        <w:rPr>
          <w:rtl/>
        </w:rPr>
      </w:pPr>
      <w:r>
        <w:rPr>
          <w:rFonts w:hint="cs"/>
          <w:rtl/>
        </w:rPr>
        <w:t>אם נרצה להתבונן בסיפור על פי המבנה שלו, נראה שמתגלים לעינינו שנ</w:t>
      </w:r>
      <w:r w:rsidRPr="005D0448">
        <w:rPr>
          <w:rtl/>
        </w:rPr>
        <w:t xml:space="preserve">י מבנים שונים. האחד </w:t>
      </w:r>
      <w:r>
        <w:rPr>
          <w:rFonts w:hint="cs"/>
          <w:rtl/>
        </w:rPr>
        <w:t>הוא</w:t>
      </w:r>
      <w:r w:rsidRPr="005D0448">
        <w:rPr>
          <w:rtl/>
        </w:rPr>
        <w:t xml:space="preserve"> פשוט </w:t>
      </w:r>
      <w:r w:rsidRPr="005D0448">
        <w:rPr>
          <w:rtl/>
        </w:rPr>
        <w:t>באופן יחסי והוא מחלק את הסיפור לפי תוכנו לשני חלקים:</w:t>
      </w:r>
    </w:p>
    <w:p w14:paraId="6F779CEE" w14:textId="77777777" w:rsidR="00895667" w:rsidRPr="00895667" w:rsidRDefault="00895667" w:rsidP="00895667">
      <w:pPr>
        <w:pStyle w:val="af"/>
        <w:numPr>
          <w:ilvl w:val="0"/>
          <w:numId w:val="44"/>
        </w:numPr>
        <w:bidi/>
        <w:spacing w:before="0" w:beforeAutospacing="0" w:after="120" w:afterAutospacing="0" w:line="288" w:lineRule="exact"/>
        <w:ind w:left="714" w:hanging="357"/>
        <w:jc w:val="both"/>
        <w:rPr>
          <w:rFonts w:ascii="Narkisim" w:hAnsi="Narkisim" w:cs="Narkisim"/>
        </w:rPr>
      </w:pPr>
      <w:r w:rsidRPr="00895667">
        <w:rPr>
          <w:rFonts w:ascii="Narkisim" w:hAnsi="Narkisim" w:cs="Narkisim"/>
          <w:rtl/>
        </w:rPr>
        <w:t>שורות 1</w:t>
      </w:r>
      <w:r w:rsidRPr="00895667">
        <w:rPr>
          <w:rFonts w:ascii="Narkisim" w:hAnsi="Narkisim" w:cs="Narkisim"/>
          <w:rtl/>
        </w:rPr>
        <w:softHyphen/>
        <w:t>–6 – עוסקות בפער בין התורה שמשה מקבל בסיני לאופן שבו ר' עקיבא ידרוש וילמד אותה שנים לאחר מכן.</w:t>
      </w:r>
    </w:p>
    <w:p w14:paraId="5ACC523E" w14:textId="77777777" w:rsidR="00895667" w:rsidRPr="00895667" w:rsidRDefault="00895667" w:rsidP="00895667">
      <w:pPr>
        <w:pStyle w:val="af"/>
        <w:numPr>
          <w:ilvl w:val="0"/>
          <w:numId w:val="44"/>
        </w:numPr>
        <w:bidi/>
        <w:spacing w:before="0" w:beforeAutospacing="0" w:after="120" w:afterAutospacing="0" w:line="288" w:lineRule="exact"/>
        <w:ind w:left="714" w:hanging="357"/>
        <w:jc w:val="both"/>
        <w:rPr>
          <w:rFonts w:ascii="Narkisim" w:hAnsi="Narkisim" w:cs="Narkisim"/>
        </w:rPr>
      </w:pPr>
      <w:r w:rsidRPr="00895667">
        <w:rPr>
          <w:rFonts w:ascii="Narkisim" w:hAnsi="Narkisim" w:cs="Narkisim"/>
          <w:rtl/>
        </w:rPr>
        <w:t>שורות 7–13 – עוסקות בשאלותיו של משה על דרכיו של הקב"ה.</w:t>
      </w:r>
    </w:p>
    <w:p w14:paraId="6B7BF10F" w14:textId="77777777" w:rsidR="00895667" w:rsidRPr="005D0448" w:rsidRDefault="00895667" w:rsidP="00895667">
      <w:pPr>
        <w:rPr>
          <w:rtl/>
        </w:rPr>
      </w:pPr>
      <w:r w:rsidRPr="005D0448">
        <w:rPr>
          <w:rtl/>
        </w:rPr>
        <w:t xml:space="preserve">חלוקה זו מוצדקת גם על ידי הבדל בולט מאד בין החלקים שמתבטא באופן התגובה של הקב"ה לשאלתו של משה, ובאופן שמשה חווה את הדברים. </w:t>
      </w:r>
      <w:r>
        <w:rPr>
          <w:rFonts w:hint="cs"/>
          <w:rtl/>
        </w:rPr>
        <w:t xml:space="preserve">בחלק הראשון הקב"ה מגיב תגובה פתוחה ומפורטת, שנותנת מקום לשאלה. בחלק השני התגובה היא קצרה וסוגרת. יש בתגובות האלה של אחדות של תוכן וצורה. </w:t>
      </w:r>
    </w:p>
    <w:p w14:paraId="0CDBB2CE" w14:textId="77777777" w:rsidR="00895667" w:rsidRPr="005D0448" w:rsidRDefault="00895667" w:rsidP="00895667">
      <w:pPr>
        <w:rPr>
          <w:rtl/>
        </w:rPr>
      </w:pPr>
      <w:r>
        <w:rPr>
          <w:rFonts w:hint="cs"/>
          <w:rtl/>
        </w:rPr>
        <w:t>אבל</w:t>
      </w:r>
      <w:r w:rsidRPr="005D0448">
        <w:rPr>
          <w:rtl/>
        </w:rPr>
        <w:t xml:space="preserve"> </w:t>
      </w:r>
      <w:r>
        <w:rPr>
          <w:rFonts w:hint="cs"/>
          <w:rtl/>
        </w:rPr>
        <w:t>אפשר גם</w:t>
      </w:r>
      <w:r w:rsidRPr="005D0448">
        <w:rPr>
          <w:rtl/>
        </w:rPr>
        <w:t xml:space="preserve"> לחלק את הסיפור חלוקה אחרת היוצרת מבנה אחר. חלוקה זו היא לשלושה חלקים, והיא מבוססת על צורת הסיפור –</w:t>
      </w:r>
      <w:r>
        <w:rPr>
          <w:rFonts w:hint="cs"/>
          <w:rtl/>
        </w:rPr>
        <w:t xml:space="preserve"> </w:t>
      </w:r>
      <w:r w:rsidRPr="005D0448">
        <w:rPr>
          <w:rtl/>
        </w:rPr>
        <w:t>שיוצרות המילים של</w:t>
      </w:r>
      <w:r>
        <w:rPr>
          <w:rFonts w:hint="cs"/>
          <w:rtl/>
        </w:rPr>
        <w:t>ו</w:t>
      </w:r>
      <w:r w:rsidRPr="005D0448">
        <w:rPr>
          <w:rtl/>
        </w:rPr>
        <w:t>:</w:t>
      </w:r>
    </w:p>
    <w:p w14:paraId="6367411B" w14:textId="77777777" w:rsidR="00895667" w:rsidRPr="00895667" w:rsidRDefault="00895667" w:rsidP="00895667">
      <w:pPr>
        <w:pStyle w:val="af"/>
        <w:numPr>
          <w:ilvl w:val="0"/>
          <w:numId w:val="43"/>
        </w:numPr>
        <w:tabs>
          <w:tab w:val="clear" w:pos="4620"/>
        </w:tabs>
        <w:bidi/>
        <w:spacing w:before="0" w:beforeAutospacing="0" w:after="120" w:afterAutospacing="0" w:line="288" w:lineRule="exact"/>
        <w:ind w:left="714" w:hanging="357"/>
        <w:jc w:val="both"/>
        <w:rPr>
          <w:rFonts w:ascii="Narkisim" w:hAnsi="Narkisim" w:cs="Narkisim"/>
        </w:rPr>
      </w:pPr>
      <w:r w:rsidRPr="00895667">
        <w:rPr>
          <w:rFonts w:ascii="Narkisim" w:hAnsi="Narkisim" w:cs="Narkisim"/>
          <w:rtl/>
        </w:rPr>
        <w:t>שורות 1–3: שאלתו של משה על הכתרים ותשובת ה'.</w:t>
      </w:r>
    </w:p>
    <w:p w14:paraId="0B399276" w14:textId="77777777" w:rsidR="00895667" w:rsidRPr="00895667" w:rsidRDefault="00895667" w:rsidP="00895667">
      <w:pPr>
        <w:pStyle w:val="af"/>
        <w:numPr>
          <w:ilvl w:val="0"/>
          <w:numId w:val="43"/>
        </w:numPr>
        <w:tabs>
          <w:tab w:val="clear" w:pos="4620"/>
        </w:tabs>
        <w:bidi/>
        <w:spacing w:before="0" w:beforeAutospacing="0" w:after="120" w:afterAutospacing="0" w:line="288" w:lineRule="exact"/>
        <w:ind w:left="714" w:hanging="357"/>
        <w:jc w:val="both"/>
        <w:rPr>
          <w:rFonts w:ascii="Narkisim" w:hAnsi="Narkisim" w:cs="Narkisim"/>
        </w:rPr>
      </w:pPr>
      <w:r w:rsidRPr="00895667">
        <w:rPr>
          <w:rFonts w:ascii="Narkisim" w:hAnsi="Narkisim" w:cs="Narkisim"/>
          <w:rtl/>
        </w:rPr>
        <w:t>שורות 4–8: משה רואה את ר' עקיבא בגדולתו בבית המדרש, ושואל מדוע לא ניתנה תורה על ידו.</w:t>
      </w:r>
    </w:p>
    <w:p w14:paraId="3AB470B0" w14:textId="77777777" w:rsidR="00895667" w:rsidRPr="00895667" w:rsidRDefault="00895667" w:rsidP="00895667">
      <w:pPr>
        <w:pStyle w:val="af"/>
        <w:numPr>
          <w:ilvl w:val="0"/>
          <w:numId w:val="43"/>
        </w:numPr>
        <w:tabs>
          <w:tab w:val="clear" w:pos="4620"/>
        </w:tabs>
        <w:bidi/>
        <w:spacing w:before="0" w:beforeAutospacing="0" w:after="120" w:afterAutospacing="0" w:line="288" w:lineRule="exact"/>
        <w:ind w:left="714" w:hanging="357"/>
        <w:jc w:val="both"/>
        <w:rPr>
          <w:rFonts w:ascii="Narkisim" w:hAnsi="Narkisim" w:cs="Narkisim"/>
        </w:rPr>
      </w:pPr>
      <w:r w:rsidRPr="00895667">
        <w:rPr>
          <w:rFonts w:ascii="Narkisim" w:hAnsi="Narkisim" w:cs="Narkisim"/>
          <w:rtl/>
        </w:rPr>
        <w:t>שורות 9–13: משה רואה את ר' עקיבא בנקודת השפל שלו – מעונה ומוצא להורג על ידי הרומאים, ושואל מדוע זהו 'שכרו'.</w:t>
      </w:r>
    </w:p>
    <w:p w14:paraId="3753F624" w14:textId="77777777" w:rsidR="00895667" w:rsidRPr="005D0448" w:rsidRDefault="00895667" w:rsidP="00895667">
      <w:pPr>
        <w:rPr>
          <w:rtl/>
        </w:rPr>
      </w:pPr>
      <w:r w:rsidRPr="005D0448">
        <w:rPr>
          <w:rtl/>
        </w:rPr>
        <w:t>את שני החלקים האחרונים ניתן להציג בטבלה הבאה, שממחישה את ההקבלה ביניהם והסיבה לחלוקה. המילים המודגשות הן המילים שמקבילות בשני החלקים:</w:t>
      </w:r>
    </w:p>
    <w:tbl>
      <w:tblPr>
        <w:tblStyle w:val="afe"/>
        <w:bidiVisual/>
        <w:tblW w:w="0" w:type="auto"/>
        <w:tblLook w:val="04A0" w:firstRow="1" w:lastRow="0" w:firstColumn="1" w:lastColumn="0" w:noHBand="0" w:noVBand="1"/>
      </w:tblPr>
      <w:tblGrid>
        <w:gridCol w:w="2305"/>
        <w:gridCol w:w="2305"/>
      </w:tblGrid>
      <w:tr w:rsidR="00895667" w:rsidRPr="005D0448" w14:paraId="1CA8F5F2" w14:textId="77777777" w:rsidTr="00514F60">
        <w:tc>
          <w:tcPr>
            <w:tcW w:w="4261" w:type="dxa"/>
          </w:tcPr>
          <w:p w14:paraId="2B1693A1" w14:textId="77777777" w:rsidR="00895667" w:rsidRPr="005D0448" w:rsidRDefault="00895667" w:rsidP="00514F60">
            <w:pPr>
              <w:spacing w:after="0" w:line="360" w:lineRule="auto"/>
              <w:jc w:val="center"/>
              <w:rPr>
                <w:rFonts w:ascii="Narkisim" w:hAnsi="Narkisim"/>
                <w:rtl/>
              </w:rPr>
            </w:pPr>
            <w:r>
              <w:rPr>
                <w:rFonts w:ascii="Narkisim" w:hAnsi="Narkisim" w:hint="cs"/>
                <w:rtl/>
              </w:rPr>
              <w:t>ב</w:t>
            </w:r>
          </w:p>
        </w:tc>
        <w:tc>
          <w:tcPr>
            <w:tcW w:w="4261" w:type="dxa"/>
          </w:tcPr>
          <w:p w14:paraId="1C2A4515" w14:textId="77777777" w:rsidR="00895667" w:rsidRPr="005D0448" w:rsidRDefault="00895667" w:rsidP="00514F60">
            <w:pPr>
              <w:spacing w:after="0" w:line="360" w:lineRule="auto"/>
              <w:jc w:val="center"/>
              <w:rPr>
                <w:rFonts w:ascii="Narkisim" w:hAnsi="Narkisim"/>
                <w:rtl/>
              </w:rPr>
            </w:pPr>
            <w:r>
              <w:rPr>
                <w:rFonts w:ascii="Narkisim" w:hAnsi="Narkisim" w:hint="cs"/>
                <w:rtl/>
              </w:rPr>
              <w:t>ג</w:t>
            </w:r>
          </w:p>
        </w:tc>
      </w:tr>
      <w:tr w:rsidR="00895667" w:rsidRPr="005D0448" w14:paraId="016994D5" w14:textId="77777777" w:rsidTr="00514F60">
        <w:tc>
          <w:tcPr>
            <w:tcW w:w="4261" w:type="dxa"/>
          </w:tcPr>
          <w:p w14:paraId="18F00B0D" w14:textId="77777777" w:rsidR="00895667" w:rsidRPr="005D0448" w:rsidRDefault="00895667" w:rsidP="00514F60">
            <w:pPr>
              <w:spacing w:after="0" w:line="360" w:lineRule="auto"/>
              <w:rPr>
                <w:rFonts w:ascii="Narkisim" w:hAnsi="Narkisim"/>
                <w:rtl/>
              </w:rPr>
            </w:pPr>
            <w:r w:rsidRPr="005D0448">
              <w:rPr>
                <w:rFonts w:ascii="Narkisim" w:hAnsi="Narkisim"/>
                <w:rtl/>
              </w:rPr>
              <w:t xml:space="preserve">4 </w:t>
            </w:r>
            <w:r w:rsidRPr="005D0448">
              <w:rPr>
                <w:rFonts w:ascii="Narkisim" w:hAnsi="Narkisim"/>
                <w:b/>
                <w:bCs/>
                <w:rtl/>
              </w:rPr>
              <w:t>אמר לפניו</w:t>
            </w:r>
            <w:r w:rsidRPr="005D0448">
              <w:rPr>
                <w:rFonts w:ascii="Narkisim" w:hAnsi="Narkisim"/>
                <w:rtl/>
              </w:rPr>
              <w:t xml:space="preserve"> </w:t>
            </w:r>
            <w:r w:rsidRPr="005D0448">
              <w:rPr>
                <w:rFonts w:ascii="Narkisim" w:hAnsi="Narkisim"/>
                <w:b/>
                <w:bCs/>
                <w:rtl/>
              </w:rPr>
              <w:t xml:space="preserve">רבונו של עולם הראהו </w:t>
            </w:r>
            <w:r w:rsidRPr="005D0448">
              <w:rPr>
                <w:rFonts w:ascii="Narkisim" w:hAnsi="Narkisim"/>
                <w:rtl/>
              </w:rPr>
              <w:t xml:space="preserve">לי </w:t>
            </w:r>
          </w:p>
          <w:p w14:paraId="4BE4A5CC" w14:textId="77777777" w:rsidR="00895667" w:rsidRPr="005D0448" w:rsidRDefault="00895667" w:rsidP="00514F60">
            <w:pPr>
              <w:spacing w:after="0" w:line="360" w:lineRule="auto"/>
              <w:rPr>
                <w:rFonts w:ascii="Narkisim" w:hAnsi="Narkisim"/>
                <w:rtl/>
              </w:rPr>
            </w:pPr>
          </w:p>
          <w:p w14:paraId="1DB9662B" w14:textId="77777777" w:rsidR="00895667" w:rsidRPr="005D0448" w:rsidRDefault="00895667" w:rsidP="00514F60">
            <w:pPr>
              <w:spacing w:after="0" w:line="360" w:lineRule="auto"/>
              <w:rPr>
                <w:rFonts w:ascii="Narkisim" w:hAnsi="Narkisim"/>
                <w:b/>
                <w:bCs/>
                <w:rtl/>
              </w:rPr>
            </w:pPr>
            <w:r w:rsidRPr="005D0448">
              <w:rPr>
                <w:rFonts w:ascii="Narkisim" w:hAnsi="Narkisim"/>
                <w:rtl/>
              </w:rPr>
              <w:t xml:space="preserve">5 </w:t>
            </w:r>
            <w:r w:rsidRPr="005D0448">
              <w:rPr>
                <w:rFonts w:ascii="Narkisim" w:hAnsi="Narkisim"/>
                <w:b/>
                <w:bCs/>
                <w:rtl/>
              </w:rPr>
              <w:t xml:space="preserve">אמר לו חזור לאחורך </w:t>
            </w:r>
          </w:p>
          <w:p w14:paraId="6C91380A" w14:textId="77777777" w:rsidR="00895667" w:rsidRPr="005D0448" w:rsidRDefault="00895667" w:rsidP="00514F60">
            <w:pPr>
              <w:spacing w:after="0" w:line="360" w:lineRule="auto"/>
              <w:rPr>
                <w:rFonts w:ascii="Narkisim" w:hAnsi="Narkisim"/>
                <w:rtl/>
              </w:rPr>
            </w:pPr>
            <w:r w:rsidRPr="005D0448">
              <w:rPr>
                <w:rFonts w:ascii="Narkisim" w:hAnsi="Narkisim"/>
                <w:rtl/>
              </w:rPr>
              <w:t xml:space="preserve">6 הלך וישב בסוף שמונה שורות ולא היה יודע מה הן אומרים, תשש כחו. כיון שהגיע לדבר אחד אמרו לו תלמידיו: רבי, מניין לך? אמר להן הלכה </w:t>
            </w:r>
            <w:r w:rsidRPr="005D0448">
              <w:rPr>
                <w:rFonts w:ascii="Narkisim" w:hAnsi="Narkisim"/>
                <w:rtl/>
              </w:rPr>
              <w:lastRenderedPageBreak/>
              <w:t>למשה מסיני. נתיישבה דעתו.</w:t>
            </w:r>
          </w:p>
          <w:p w14:paraId="1A1FCF39" w14:textId="77777777" w:rsidR="00895667" w:rsidRPr="005D0448" w:rsidRDefault="00895667" w:rsidP="00514F60">
            <w:pPr>
              <w:spacing w:after="0" w:line="360" w:lineRule="auto"/>
              <w:rPr>
                <w:rFonts w:ascii="Narkisim" w:hAnsi="Narkisim"/>
                <w:rtl/>
              </w:rPr>
            </w:pPr>
            <w:r w:rsidRPr="005D0448">
              <w:rPr>
                <w:rFonts w:ascii="Narkisim" w:hAnsi="Narkisim"/>
                <w:rtl/>
              </w:rPr>
              <w:t xml:space="preserve">7 חזר ובא לפני הקדוש ברוך הוא, </w:t>
            </w:r>
          </w:p>
          <w:p w14:paraId="515D6D49" w14:textId="77777777" w:rsidR="00895667" w:rsidRPr="005D0448" w:rsidRDefault="00895667" w:rsidP="00514F60">
            <w:pPr>
              <w:spacing w:after="0" w:line="360" w:lineRule="auto"/>
              <w:rPr>
                <w:rFonts w:ascii="Narkisim" w:hAnsi="Narkisim"/>
                <w:rtl/>
              </w:rPr>
            </w:pPr>
            <w:r w:rsidRPr="005D0448">
              <w:rPr>
                <w:rFonts w:ascii="Narkisim" w:hAnsi="Narkisim"/>
                <w:b/>
                <w:bCs/>
                <w:rtl/>
              </w:rPr>
              <w:t>אמר לפניו: רבונו של עולם</w:t>
            </w:r>
            <w:r w:rsidRPr="005D0448">
              <w:rPr>
                <w:rFonts w:ascii="Narkisim" w:hAnsi="Narkisim"/>
                <w:rtl/>
              </w:rPr>
              <w:t xml:space="preserve"> יש לך אדם כזה ואתה נותן תורה על ידי? </w:t>
            </w:r>
          </w:p>
          <w:p w14:paraId="0836707A" w14:textId="77777777" w:rsidR="00895667" w:rsidRPr="005D0448" w:rsidRDefault="00895667" w:rsidP="00514F60">
            <w:pPr>
              <w:spacing w:after="0" w:line="360" w:lineRule="auto"/>
              <w:rPr>
                <w:rFonts w:ascii="Narkisim" w:hAnsi="Narkisim"/>
                <w:rtl/>
              </w:rPr>
            </w:pPr>
            <w:r w:rsidRPr="005D0448">
              <w:rPr>
                <w:rFonts w:ascii="Narkisim" w:hAnsi="Narkisim"/>
                <w:rtl/>
              </w:rPr>
              <w:t xml:space="preserve">8 </w:t>
            </w:r>
            <w:r w:rsidRPr="005D0448">
              <w:rPr>
                <w:rFonts w:ascii="Narkisim" w:hAnsi="Narkisim"/>
                <w:b/>
                <w:bCs/>
                <w:rtl/>
              </w:rPr>
              <w:t>אמר לו: שתוק כך עלה במחשבה לפני</w:t>
            </w:r>
            <w:r w:rsidRPr="005D0448">
              <w:rPr>
                <w:rFonts w:ascii="Narkisim" w:hAnsi="Narkisim"/>
                <w:rtl/>
              </w:rPr>
              <w:t xml:space="preserve"> </w:t>
            </w:r>
          </w:p>
        </w:tc>
        <w:tc>
          <w:tcPr>
            <w:tcW w:w="4261" w:type="dxa"/>
          </w:tcPr>
          <w:p w14:paraId="2B859B77" w14:textId="77777777" w:rsidR="00895667" w:rsidRPr="005D0448" w:rsidRDefault="00895667" w:rsidP="00514F60">
            <w:pPr>
              <w:spacing w:after="0" w:line="360" w:lineRule="auto"/>
              <w:rPr>
                <w:rFonts w:ascii="Narkisim" w:hAnsi="Narkisim"/>
                <w:rtl/>
              </w:rPr>
            </w:pPr>
            <w:r w:rsidRPr="005D0448">
              <w:rPr>
                <w:rFonts w:ascii="Narkisim" w:hAnsi="Narkisim"/>
                <w:rtl/>
              </w:rPr>
              <w:lastRenderedPageBreak/>
              <w:t xml:space="preserve">9 </w:t>
            </w:r>
            <w:r w:rsidRPr="005D0448">
              <w:rPr>
                <w:rFonts w:ascii="Narkisim" w:hAnsi="Narkisim"/>
                <w:b/>
                <w:bCs/>
                <w:rtl/>
              </w:rPr>
              <w:t>אמר לפניו: רבונו של עולם</w:t>
            </w:r>
            <w:r w:rsidRPr="005D0448">
              <w:rPr>
                <w:rFonts w:ascii="Narkisim" w:hAnsi="Narkisim"/>
                <w:rtl/>
              </w:rPr>
              <w:t xml:space="preserve">, הראיתני תורתו </w:t>
            </w:r>
            <w:r w:rsidRPr="005D0448">
              <w:rPr>
                <w:rFonts w:ascii="Narkisim" w:hAnsi="Narkisim"/>
                <w:b/>
                <w:bCs/>
                <w:rtl/>
              </w:rPr>
              <w:t>הראני</w:t>
            </w:r>
            <w:r w:rsidRPr="005D0448">
              <w:rPr>
                <w:rFonts w:ascii="Narkisim" w:hAnsi="Narkisim"/>
                <w:rtl/>
              </w:rPr>
              <w:t xml:space="preserve"> שכרו </w:t>
            </w:r>
          </w:p>
          <w:p w14:paraId="3FA9DEF9" w14:textId="77777777" w:rsidR="00895667" w:rsidRPr="005D0448" w:rsidRDefault="00895667" w:rsidP="00514F60">
            <w:pPr>
              <w:spacing w:after="0" w:line="360" w:lineRule="auto"/>
              <w:rPr>
                <w:rFonts w:ascii="Narkisim" w:hAnsi="Narkisim"/>
                <w:rtl/>
              </w:rPr>
            </w:pPr>
            <w:r w:rsidRPr="005D0448">
              <w:rPr>
                <w:rFonts w:ascii="Narkisim" w:hAnsi="Narkisim"/>
                <w:rtl/>
              </w:rPr>
              <w:t xml:space="preserve">10 </w:t>
            </w:r>
            <w:r w:rsidRPr="005D0448">
              <w:rPr>
                <w:rFonts w:ascii="Narkisim" w:hAnsi="Narkisim"/>
                <w:b/>
                <w:bCs/>
                <w:rtl/>
              </w:rPr>
              <w:t>אמר לו חזור לאחורך</w:t>
            </w:r>
            <w:r w:rsidRPr="005D0448">
              <w:rPr>
                <w:rFonts w:ascii="Narkisim" w:hAnsi="Narkisim"/>
                <w:rtl/>
              </w:rPr>
              <w:t xml:space="preserve"> </w:t>
            </w:r>
          </w:p>
          <w:p w14:paraId="72DBDFE1" w14:textId="77777777" w:rsidR="00895667" w:rsidRPr="005D0448" w:rsidRDefault="00895667" w:rsidP="00514F60">
            <w:pPr>
              <w:spacing w:after="0" w:line="360" w:lineRule="auto"/>
              <w:rPr>
                <w:rFonts w:ascii="Narkisim" w:hAnsi="Narkisim"/>
                <w:rtl/>
              </w:rPr>
            </w:pPr>
            <w:r w:rsidRPr="005D0448">
              <w:rPr>
                <w:rFonts w:ascii="Narkisim" w:hAnsi="Narkisim"/>
                <w:rtl/>
              </w:rPr>
              <w:t xml:space="preserve">11 חזר לאחוריו ראה ששוקלין בשרו במקולין </w:t>
            </w:r>
          </w:p>
          <w:p w14:paraId="7828AA61" w14:textId="77777777" w:rsidR="00895667" w:rsidRPr="005D0448" w:rsidRDefault="00895667" w:rsidP="00514F60">
            <w:pPr>
              <w:spacing w:after="0" w:line="360" w:lineRule="auto"/>
              <w:rPr>
                <w:rFonts w:ascii="Narkisim" w:hAnsi="Narkisim"/>
                <w:rtl/>
              </w:rPr>
            </w:pPr>
          </w:p>
          <w:p w14:paraId="4B1D3DF4" w14:textId="77777777" w:rsidR="00895667" w:rsidRPr="005D0448" w:rsidRDefault="00895667" w:rsidP="00514F60">
            <w:pPr>
              <w:spacing w:after="0" w:line="360" w:lineRule="auto"/>
              <w:rPr>
                <w:rFonts w:ascii="Narkisim" w:hAnsi="Narkisim"/>
                <w:rtl/>
              </w:rPr>
            </w:pPr>
          </w:p>
          <w:p w14:paraId="3BDE9714" w14:textId="77777777" w:rsidR="00895667" w:rsidRPr="005D0448" w:rsidRDefault="00895667" w:rsidP="00514F60">
            <w:pPr>
              <w:spacing w:after="0" w:line="360" w:lineRule="auto"/>
              <w:rPr>
                <w:rFonts w:ascii="Narkisim" w:hAnsi="Narkisim"/>
                <w:rtl/>
              </w:rPr>
            </w:pPr>
          </w:p>
          <w:p w14:paraId="6556A125" w14:textId="77777777" w:rsidR="00895667" w:rsidRDefault="00895667" w:rsidP="00514F60">
            <w:pPr>
              <w:spacing w:after="0" w:line="360" w:lineRule="auto"/>
              <w:rPr>
                <w:rFonts w:ascii="Narkisim" w:hAnsi="Narkisim"/>
                <w:rtl/>
              </w:rPr>
            </w:pPr>
          </w:p>
          <w:p w14:paraId="47710233" w14:textId="77777777" w:rsidR="00895667" w:rsidRPr="005D0448" w:rsidRDefault="00895667" w:rsidP="00514F60">
            <w:pPr>
              <w:spacing w:after="0" w:line="360" w:lineRule="auto"/>
              <w:rPr>
                <w:rFonts w:ascii="Narkisim" w:hAnsi="Narkisim"/>
                <w:rtl/>
              </w:rPr>
            </w:pPr>
            <w:r w:rsidRPr="005D0448">
              <w:rPr>
                <w:rFonts w:ascii="Narkisim" w:hAnsi="Narkisim"/>
                <w:rtl/>
              </w:rPr>
              <w:lastRenderedPageBreak/>
              <w:t xml:space="preserve">12 </w:t>
            </w:r>
            <w:r w:rsidRPr="005D0448">
              <w:rPr>
                <w:rFonts w:ascii="Narkisim" w:hAnsi="Narkisim"/>
                <w:b/>
                <w:bCs/>
                <w:rtl/>
              </w:rPr>
              <w:t>אמר לפניו, רבונו של עולם</w:t>
            </w:r>
            <w:r w:rsidRPr="005D0448">
              <w:rPr>
                <w:rFonts w:ascii="Narkisim" w:hAnsi="Narkisim"/>
                <w:rtl/>
              </w:rPr>
              <w:t xml:space="preserve"> זו תורה וזו שכרה? </w:t>
            </w:r>
          </w:p>
          <w:p w14:paraId="556E3EBC" w14:textId="77777777" w:rsidR="00895667" w:rsidRPr="005D0448" w:rsidRDefault="00895667" w:rsidP="00514F60">
            <w:pPr>
              <w:spacing w:after="0" w:line="360" w:lineRule="auto"/>
              <w:rPr>
                <w:rFonts w:ascii="Narkisim" w:hAnsi="Narkisim"/>
                <w:rtl/>
              </w:rPr>
            </w:pPr>
            <w:r w:rsidRPr="005D0448">
              <w:rPr>
                <w:rFonts w:ascii="Narkisim" w:hAnsi="Narkisim"/>
                <w:rtl/>
              </w:rPr>
              <w:t xml:space="preserve">13 </w:t>
            </w:r>
            <w:r w:rsidRPr="005D0448">
              <w:rPr>
                <w:rFonts w:ascii="Narkisim" w:hAnsi="Narkisim"/>
                <w:b/>
                <w:bCs/>
                <w:rtl/>
              </w:rPr>
              <w:t>אמר לו שתוק כך עלה במחשבה לפני</w:t>
            </w:r>
            <w:r w:rsidRPr="005D0448">
              <w:rPr>
                <w:rFonts w:ascii="Narkisim" w:hAnsi="Narkisim"/>
                <w:rtl/>
              </w:rPr>
              <w:t xml:space="preserve"> </w:t>
            </w:r>
          </w:p>
        </w:tc>
      </w:tr>
    </w:tbl>
    <w:p w14:paraId="4A7F5D62" w14:textId="77777777" w:rsidR="00895667" w:rsidRPr="005D0448" w:rsidRDefault="00895667" w:rsidP="00895667">
      <w:pPr>
        <w:spacing w:line="360" w:lineRule="exact"/>
        <w:rPr>
          <w:rFonts w:ascii="Narkisim" w:hAnsi="Narkisim"/>
          <w:rtl/>
        </w:rPr>
      </w:pPr>
    </w:p>
    <w:p w14:paraId="132E66AD" w14:textId="77777777" w:rsidR="00895667" w:rsidRDefault="00895667" w:rsidP="00895667">
      <w:pPr>
        <w:rPr>
          <w:rtl/>
        </w:rPr>
      </w:pPr>
      <w:r w:rsidRPr="005D0448">
        <w:rPr>
          <w:rtl/>
        </w:rPr>
        <w:t xml:space="preserve">שני המבנים </w:t>
      </w:r>
      <w:r>
        <w:rPr>
          <w:rFonts w:hint="cs"/>
          <w:rtl/>
        </w:rPr>
        <w:t>שהצגתי</w:t>
      </w:r>
      <w:r w:rsidRPr="005D0448">
        <w:rPr>
          <w:rtl/>
        </w:rPr>
        <w:t xml:space="preserve"> אינם חופפים זה את ז</w:t>
      </w:r>
      <w:r>
        <w:rPr>
          <w:rFonts w:hint="cs"/>
          <w:rtl/>
        </w:rPr>
        <w:t>ה</w:t>
      </w:r>
      <w:r w:rsidRPr="005D0448">
        <w:rPr>
          <w:rtl/>
        </w:rPr>
        <w:t xml:space="preserve">. המבנה </w:t>
      </w:r>
      <w:r>
        <w:rPr>
          <w:rFonts w:hint="cs"/>
          <w:rtl/>
        </w:rPr>
        <w:t xml:space="preserve">השני, </w:t>
      </w:r>
      <w:r w:rsidRPr="005D0448">
        <w:rPr>
          <w:rtl/>
        </w:rPr>
        <w:t xml:space="preserve">שנוצר על ידי העיצוב הצורני של הסיפור, דהיינו על ידי מילים שחוזרות על עצמן, שובר את המבנה הראשוני </w:t>
      </w:r>
      <w:r>
        <w:rPr>
          <w:rFonts w:hint="cs"/>
          <w:rtl/>
        </w:rPr>
        <w:t>שנגלה לעיני</w:t>
      </w:r>
      <w:r w:rsidRPr="005D0448">
        <w:rPr>
          <w:rtl/>
        </w:rPr>
        <w:t xml:space="preserve"> הקורא</w:t>
      </w:r>
      <w:r>
        <w:rPr>
          <w:rFonts w:hint="cs"/>
          <w:rtl/>
        </w:rPr>
        <w:t>ים</w:t>
      </w:r>
      <w:r w:rsidRPr="005D0448">
        <w:rPr>
          <w:rtl/>
        </w:rPr>
        <w:t xml:space="preserve"> מתוכן הסיפור</w:t>
      </w:r>
      <w:r>
        <w:rPr>
          <w:rFonts w:hint="cs"/>
          <w:rtl/>
        </w:rPr>
        <w:t>.</w:t>
      </w:r>
      <w:r w:rsidRPr="005D0448">
        <w:rPr>
          <w:rtl/>
        </w:rPr>
        <w:t xml:space="preserve"> חלק ב של המבנה השני </w:t>
      </w:r>
      <w:r>
        <w:rPr>
          <w:rFonts w:hint="cs"/>
          <w:rtl/>
        </w:rPr>
        <w:t xml:space="preserve">מתחיל בתוך </w:t>
      </w:r>
      <w:r w:rsidRPr="005D0448">
        <w:rPr>
          <w:rtl/>
        </w:rPr>
        <w:t>החלק הראשון של החלוקה התוכנית, ו</w:t>
      </w:r>
      <w:r>
        <w:rPr>
          <w:rFonts w:hint="cs"/>
          <w:rtl/>
        </w:rPr>
        <w:t>חורג אל מעבר לו, ו</w:t>
      </w:r>
      <w:r w:rsidRPr="005D0448">
        <w:rPr>
          <w:rtl/>
        </w:rPr>
        <w:t>אז נפסק ומתחיל חלק ג. בהמשך</w:t>
      </w:r>
      <w:r>
        <w:rPr>
          <w:rFonts w:hint="cs"/>
          <w:rtl/>
        </w:rPr>
        <w:t>, כשאכנס יותר ל</w:t>
      </w:r>
      <w:r w:rsidRPr="005D0448">
        <w:rPr>
          <w:rtl/>
        </w:rPr>
        <w:t xml:space="preserve">משמעות הסיפור, </w:t>
      </w:r>
      <w:r>
        <w:rPr>
          <w:rFonts w:hint="cs"/>
          <w:rtl/>
        </w:rPr>
        <w:t>א</w:t>
      </w:r>
      <w:r w:rsidRPr="005D0448">
        <w:rPr>
          <w:rtl/>
        </w:rPr>
        <w:t>נסה לה</w:t>
      </w:r>
      <w:r>
        <w:rPr>
          <w:rFonts w:hint="cs"/>
          <w:rtl/>
        </w:rPr>
        <w:t>סביר</w:t>
      </w:r>
      <w:r w:rsidRPr="005D0448">
        <w:rPr>
          <w:rtl/>
        </w:rPr>
        <w:t xml:space="preserve"> את המשמעות של </w:t>
      </w:r>
      <w:r>
        <w:rPr>
          <w:rFonts w:hint="cs"/>
          <w:rtl/>
        </w:rPr>
        <w:t>ה</w:t>
      </w:r>
      <w:r w:rsidRPr="005D0448">
        <w:rPr>
          <w:rtl/>
        </w:rPr>
        <w:t xml:space="preserve">תופעה </w:t>
      </w:r>
      <w:r>
        <w:rPr>
          <w:rFonts w:hint="cs"/>
          <w:rtl/>
        </w:rPr>
        <w:t>ה</w:t>
      </w:r>
      <w:r w:rsidRPr="005D0448">
        <w:rPr>
          <w:rtl/>
        </w:rPr>
        <w:t xml:space="preserve">זו. </w:t>
      </w:r>
    </w:p>
    <w:p w14:paraId="7625B344" w14:textId="77777777" w:rsidR="00895667" w:rsidRPr="005D0448" w:rsidRDefault="00895667" w:rsidP="00895667">
      <w:pPr>
        <w:rPr>
          <w:rtl/>
        </w:rPr>
      </w:pPr>
      <w:r>
        <w:rPr>
          <w:rFonts w:hint="cs"/>
          <w:rtl/>
        </w:rPr>
        <w:t xml:space="preserve">נשוב למבנה הראשון, שמחלק את הסיפור על פי התוכן לשניים. אכן בסיפור עולים שני נושאים שונים. הנושא הראשון הוא היצירה האנושית בתורה שבעל פה, באמצעות פרשנות מדרשית יוצרת ומחדשת כדוגמת מדרשיו של ר' עקיבא. הסברו של ה' למשה על קשירת הכתרים לאותיות מלמד שכבר בנתינת התורה ה' פתח את האפשרות הזו לבני האדם </w:t>
      </w:r>
      <w:r>
        <w:rPr>
          <w:rtl/>
        </w:rPr>
        <w:t>–</w:t>
      </w:r>
      <w:r>
        <w:rPr>
          <w:rFonts w:hint="cs"/>
          <w:rtl/>
        </w:rPr>
        <w:t xml:space="preserve"> לחכמים </w:t>
      </w:r>
      <w:r>
        <w:rPr>
          <w:rtl/>
        </w:rPr>
        <w:t>–</w:t>
      </w:r>
      <w:r>
        <w:rPr>
          <w:rFonts w:hint="cs"/>
          <w:rtl/>
        </w:rPr>
        <w:t xml:space="preserve"> ליצור מהתורה שבכתב את התורה שבעל פה, להיות שותפים ליצירת התורה. המשמעות הזו באה לידי ביטוי במדרש קצר אחר שגם הוא מסדרת המדרשים של 'כשעלה משה למרום' </w:t>
      </w:r>
      <w:r w:rsidRPr="005D0448">
        <w:rPr>
          <w:rtl/>
        </w:rPr>
        <w:t>(בבלי שבת פט ע"א)</w:t>
      </w:r>
      <w:r>
        <w:rPr>
          <w:rFonts w:hint="cs"/>
          <w:rtl/>
        </w:rPr>
        <w:t>:</w:t>
      </w:r>
    </w:p>
    <w:p w14:paraId="1F5B2F4A" w14:textId="77777777" w:rsidR="00895667" w:rsidRPr="005D0448" w:rsidRDefault="00895667" w:rsidP="00895667">
      <w:pPr>
        <w:pStyle w:val="a9"/>
        <w:rPr>
          <w:rtl/>
        </w:rPr>
      </w:pPr>
      <w:r w:rsidRPr="005D0448">
        <w:rPr>
          <w:rtl/>
        </w:rPr>
        <w:t>ואמר רבי יהושע בן לוי: בשעה שעלה משה למרום מצאו להקדוש ברוך הוא שהיה קושר כתרים לאותיות. אמר לו: משה, אין שלום בעירך? אמר לפניו: כלום יש עבד שנותן שלום לרבו? אמר לו: היה לך לעזרני...</w:t>
      </w:r>
    </w:p>
    <w:p w14:paraId="0831FFD4" w14:textId="77777777" w:rsidR="00895667" w:rsidRPr="005D0448" w:rsidRDefault="00895667" w:rsidP="00895667">
      <w:pPr>
        <w:rPr>
          <w:rtl/>
        </w:rPr>
      </w:pPr>
      <w:r w:rsidRPr="005D0448">
        <w:rPr>
          <w:rtl/>
        </w:rPr>
        <w:t xml:space="preserve">נראה שהחלק הראשון של הסיפור שלנו במנחות </w:t>
      </w:r>
      <w:r>
        <w:rPr>
          <w:rFonts w:hint="cs"/>
          <w:rtl/>
        </w:rPr>
        <w:t>קשור גם</w:t>
      </w:r>
      <w:r w:rsidRPr="005D0448">
        <w:rPr>
          <w:rtl/>
        </w:rPr>
        <w:t xml:space="preserve"> </w:t>
      </w:r>
      <w:r>
        <w:rPr>
          <w:rFonts w:hint="cs"/>
          <w:rtl/>
        </w:rPr>
        <w:t>למדרש הזה של ר' יהושע בן לוי; לשניהם יש מוטיב משותף.</w:t>
      </w:r>
      <w:r w:rsidRPr="005D0448">
        <w:rPr>
          <w:rtl/>
        </w:rPr>
        <w:t xml:space="preserve"> משה מרגיש כעבד לפני רבו, אך ה' רוצה שהוא ירגיש אחרת – כשותף. ה' רואה במשה בפרט ובאדם שניתנת לו התורה בכלל, שותף. היחס והאווירה הם בהתאם – ישנה פתיחות ו'נדיבות' מצד ה' </w:t>
      </w:r>
      <w:r>
        <w:rPr>
          <w:rFonts w:hint="cs"/>
          <w:rtl/>
        </w:rPr>
        <w:t xml:space="preserve">שמתבטאים </w:t>
      </w:r>
      <w:r w:rsidRPr="005D0448">
        <w:rPr>
          <w:rtl/>
        </w:rPr>
        <w:t>בשיח ובמעמד שהוא מציע למשה.</w:t>
      </w:r>
    </w:p>
    <w:p w14:paraId="0130289C" w14:textId="77777777" w:rsidR="00895667" w:rsidRPr="005D0448" w:rsidRDefault="00895667" w:rsidP="00895667">
      <w:pPr>
        <w:rPr>
          <w:rtl/>
        </w:rPr>
      </w:pPr>
      <w:r>
        <w:rPr>
          <w:rFonts w:hint="cs"/>
          <w:rtl/>
        </w:rPr>
        <w:t>השותפות הזו באה לידי ביטוי, כאמור לעיל, לא רק בתוכן בסיפור אלא גם בצורה של המענים השונים של ה' למשה:</w:t>
      </w:r>
      <w:r w:rsidRPr="005D0448">
        <w:rPr>
          <w:rtl/>
        </w:rPr>
        <w:t xml:space="preserve"> בתגובה לשאלתו של משה על קשירת הכתרים לאותיות, הקב"ה עונה על שאלתו באריכות, </w:t>
      </w:r>
      <w:r w:rsidRPr="005D0448">
        <w:rPr>
          <w:rtl/>
        </w:rPr>
        <w:t>בפתיחות ובנדיבות; הוא מאפשר לו לראות את ר' עקיבא מלמד, ועל אף מצוקה רגעית שיש למשה מכך שהוא איננו מבין את דברי ר' עקיבא, לבסוף מתיישבת דעתו. רובו של החלק הזה מתנהל</w:t>
      </w:r>
      <w:r>
        <w:rPr>
          <w:rFonts w:hint="cs"/>
          <w:rtl/>
        </w:rPr>
        <w:t xml:space="preserve"> </w:t>
      </w:r>
      <w:r w:rsidRPr="005D0448">
        <w:rPr>
          <w:rtl/>
        </w:rPr>
        <w:t xml:space="preserve">באווירה פתוחה ונינוחה מאד. </w:t>
      </w:r>
    </w:p>
    <w:p w14:paraId="2F928BD1" w14:textId="77777777" w:rsidR="00895667" w:rsidRDefault="00895667" w:rsidP="00895667">
      <w:pPr>
        <w:rPr>
          <w:rtl/>
        </w:rPr>
      </w:pPr>
      <w:r>
        <w:rPr>
          <w:rFonts w:hint="cs"/>
          <w:rtl/>
        </w:rPr>
        <w:t>כל זה עומד</w:t>
      </w:r>
      <w:r w:rsidRPr="005D0448">
        <w:rPr>
          <w:rtl/>
        </w:rPr>
        <w:t xml:space="preserve"> בניגוד חריף לחלק השני, שמס</w:t>
      </w:r>
      <w:r>
        <w:rPr>
          <w:rFonts w:hint="cs"/>
          <w:rtl/>
        </w:rPr>
        <w:t>ת</w:t>
      </w:r>
      <w:r w:rsidRPr="005D0448">
        <w:rPr>
          <w:rtl/>
        </w:rPr>
        <w:t xml:space="preserve">יים באופן שונה לחלוטין – 'שתוק! כך עלה במחשבה לפני!'. כאן אין פתיחות, </w:t>
      </w:r>
      <w:r>
        <w:rPr>
          <w:rFonts w:hint="cs"/>
          <w:rtl/>
        </w:rPr>
        <w:t>ו</w:t>
      </w:r>
      <w:r w:rsidRPr="005D0448">
        <w:rPr>
          <w:rtl/>
        </w:rPr>
        <w:t>ה' לא משתף אלא ממדר ומסתיר</w:t>
      </w:r>
      <w:r>
        <w:rPr>
          <w:rFonts w:hint="cs"/>
          <w:rtl/>
        </w:rPr>
        <w:t>, שם גבולות ליכולת האנושית להיות מעורב ושותף להבנה</w:t>
      </w:r>
      <w:r w:rsidRPr="005D0448">
        <w:rPr>
          <w:rtl/>
        </w:rPr>
        <w:t xml:space="preserve">. </w:t>
      </w:r>
      <w:r>
        <w:rPr>
          <w:rFonts w:hint="cs"/>
          <w:rtl/>
        </w:rPr>
        <w:t>ההבדל קשור לכך ששאלתו של משה בחלק השני נוגעת לתחום אחר</w:t>
      </w:r>
      <w:r w:rsidRPr="005D0448">
        <w:rPr>
          <w:rtl/>
        </w:rPr>
        <w:t>. השאלה היא על דרכיו או מידותיו של ה', על שיקולי הדעת שלו ועל האופן שבו הוא מנהל את עולמו. כיצד מתרחשים בעולם דברים אשר נראים הפוכים מהצדק</w:t>
      </w:r>
      <w:r>
        <w:rPr>
          <w:rFonts w:hint="cs"/>
          <w:rtl/>
        </w:rPr>
        <w:t xml:space="preserve">? אם נרצה, </w:t>
      </w:r>
      <w:r w:rsidRPr="005D0448">
        <w:rPr>
          <w:rtl/>
        </w:rPr>
        <w:t xml:space="preserve">שאלת </w:t>
      </w:r>
      <w:r>
        <w:rPr>
          <w:rFonts w:hint="cs"/>
          <w:rtl/>
        </w:rPr>
        <w:t>'</w:t>
      </w:r>
      <w:r w:rsidRPr="005D0448">
        <w:rPr>
          <w:rtl/>
        </w:rPr>
        <w:t>צדיק ורע לו</w:t>
      </w:r>
      <w:r>
        <w:rPr>
          <w:rFonts w:hint="cs"/>
          <w:rtl/>
        </w:rPr>
        <w:t>'</w:t>
      </w:r>
      <w:r w:rsidRPr="005D0448">
        <w:rPr>
          <w:rtl/>
        </w:rPr>
        <w:t xml:space="preserve"> הקלאסית. </w:t>
      </w:r>
    </w:p>
    <w:p w14:paraId="240A8BAC" w14:textId="77777777" w:rsidR="00895667" w:rsidRPr="005D0448" w:rsidRDefault="00895667" w:rsidP="00895667">
      <w:pPr>
        <w:rPr>
          <w:rtl/>
        </w:rPr>
      </w:pPr>
      <w:r>
        <w:rPr>
          <w:rFonts w:hint="cs"/>
          <w:rtl/>
        </w:rPr>
        <w:t xml:space="preserve">אפשר לנסח זאת גם כך: השאלה הראשונה נוגעת ב'מה' ולא ב'למה'. באופן ספציפי, משה שואל "מי מעכב על ידך" </w:t>
      </w:r>
      <w:r>
        <w:rPr>
          <w:rtl/>
        </w:rPr>
        <w:t>–</w:t>
      </w:r>
      <w:r>
        <w:rPr>
          <w:rFonts w:hint="cs"/>
          <w:rtl/>
        </w:rPr>
        <w:t xml:space="preserve"> השאלה היא במישור של הבנת המנגנון, לא במישור של הסיבתיות שעומדת מאחורי זה שהמנגנון הוא כך ולא אחרת. השאלה השנייה נכנסת לסיבתיות הזו, שהיא כבר בתחום שיקולי הדעת הא-לוהיים לניהול העולם. לשם ה' לא מכניס אותו. </w:t>
      </w:r>
      <w:r w:rsidRPr="005D0448">
        <w:rPr>
          <w:rtl/>
        </w:rPr>
        <w:t xml:space="preserve">מדהים לראות כיצד ברגע שאלו השאלות </w:t>
      </w:r>
      <w:r>
        <w:rPr>
          <w:rFonts w:hint="cs"/>
          <w:rtl/>
        </w:rPr>
        <w:t>ש</w:t>
      </w:r>
      <w:r w:rsidRPr="005D0448">
        <w:rPr>
          <w:rtl/>
        </w:rPr>
        <w:t>נשאלות על ידי משה, משתנה כל נימתו של ה'. פעמיים משה מנסה להבין ופעמיים הוא נענה בתשובה הבוטה והקשה שעליו לשתוק ולקבל, משום שבעניין זה אין משתפים אותו.</w:t>
      </w:r>
    </w:p>
    <w:p w14:paraId="439D140C" w14:textId="77777777" w:rsidR="00895667" w:rsidRPr="005D0448" w:rsidRDefault="00895667" w:rsidP="00895667">
      <w:pPr>
        <w:rPr>
          <w:rtl/>
        </w:rPr>
      </w:pPr>
      <w:r>
        <w:rPr>
          <w:rFonts w:hint="cs"/>
          <w:rtl/>
        </w:rPr>
        <w:t xml:space="preserve">אם כך אפשר לשאול: </w:t>
      </w:r>
      <w:r w:rsidRPr="005D0448">
        <w:rPr>
          <w:rtl/>
        </w:rPr>
        <w:t xml:space="preserve">מה </w:t>
      </w:r>
      <w:r>
        <w:rPr>
          <w:rFonts w:hint="cs"/>
          <w:rtl/>
        </w:rPr>
        <w:t>היחס</w:t>
      </w:r>
      <w:r w:rsidRPr="005D0448">
        <w:rPr>
          <w:rtl/>
        </w:rPr>
        <w:t xml:space="preserve"> בין החלקים? מדוע המספר מסמיך בסיפור אחד שתי שאלות שונות מאד, שגם נענות בצורה כה שונה?</w:t>
      </w:r>
    </w:p>
    <w:p w14:paraId="7C16E849" w14:textId="77777777" w:rsidR="00895667" w:rsidRPr="005D0448" w:rsidRDefault="00895667" w:rsidP="00895667">
      <w:pPr>
        <w:rPr>
          <w:rtl/>
        </w:rPr>
      </w:pPr>
      <w:r w:rsidRPr="005D0448">
        <w:rPr>
          <w:rtl/>
        </w:rPr>
        <w:t>נראה שהסיפור מעביר מסר על מורכבות יחסי האדם עם הא</w:t>
      </w:r>
      <w:r>
        <w:rPr>
          <w:rFonts w:hint="cs"/>
          <w:rtl/>
        </w:rPr>
        <w:t>-</w:t>
      </w:r>
      <w:r w:rsidRPr="005D0448">
        <w:rPr>
          <w:rtl/>
        </w:rPr>
        <w:t>ל. בניגוד לסיפור המקראי על מתן תורה, חלקו הראשון של הסיפור בבבלי מנחות אינו מספר רק על נתינת התורה</w:t>
      </w:r>
      <w:r>
        <w:rPr>
          <w:rFonts w:hint="cs"/>
          <w:rtl/>
        </w:rPr>
        <w:t>, שיש בה נותן אקטיבי ומקבל פסיבי</w:t>
      </w:r>
      <w:r w:rsidRPr="005D0448">
        <w:rPr>
          <w:rtl/>
        </w:rPr>
        <w:t xml:space="preserve">. בחלק זה ה' קורא לאדם להיות שותף אמיתי עמו במפעל </w:t>
      </w:r>
      <w:r>
        <w:rPr>
          <w:rFonts w:hint="cs"/>
          <w:rtl/>
        </w:rPr>
        <w:t>הזה</w:t>
      </w:r>
      <w:r w:rsidRPr="005D0448">
        <w:rPr>
          <w:rtl/>
        </w:rPr>
        <w:t xml:space="preserve"> – יצירת התורה והתפתחותה</w:t>
      </w:r>
      <w:r>
        <w:rPr>
          <w:rFonts w:hint="cs"/>
          <w:rtl/>
        </w:rPr>
        <w:t xml:space="preserve">, </w:t>
      </w:r>
      <w:r w:rsidRPr="005D0448">
        <w:rPr>
          <w:rtl/>
        </w:rPr>
        <w:t>שותפות גדולה ו</w:t>
      </w:r>
      <w:r>
        <w:rPr>
          <w:rFonts w:hint="cs"/>
          <w:rtl/>
        </w:rPr>
        <w:t>מרשימה</w:t>
      </w:r>
      <w:r w:rsidRPr="005D0448">
        <w:rPr>
          <w:rtl/>
        </w:rPr>
        <w:t>. האדם כאן הוא בשיא גדולתו כאדם.</w:t>
      </w:r>
    </w:p>
    <w:p w14:paraId="15DA2B76" w14:textId="77777777" w:rsidR="00895667" w:rsidRPr="005D0448" w:rsidRDefault="00895667" w:rsidP="00895667">
      <w:pPr>
        <w:rPr>
          <w:rtl/>
        </w:rPr>
      </w:pPr>
      <w:r w:rsidRPr="005D0448">
        <w:rPr>
          <w:rtl/>
        </w:rPr>
        <w:t>ברם, כשמגיעים לתחום של הנהגת העולם – כאן האדם אינו מוזמן להיות שותף, וממילא – כאן האדם קטן</w:t>
      </w:r>
      <w:r>
        <w:rPr>
          <w:rFonts w:hint="cs"/>
          <w:rtl/>
        </w:rPr>
        <w:t>, נמצא בעמדה של חיסרון. בקריאת הסיפור בגמרא אפשר לשער</w:t>
      </w:r>
      <w:r w:rsidRPr="005D0448">
        <w:rPr>
          <w:rtl/>
        </w:rPr>
        <w:t xml:space="preserve"> שהמטרה היא שהאדם לא יגיע לגאווה והיבריס מכך שה' שיתף אותו ביצירת התורה, ואפשר שפשוט מוגבלותו של האדם היא כזו שאינה מאפשרת לו להבין בתחום זה. מכל מקום, זהו המקום שגורם לאדם להרגיש קטן</w:t>
      </w:r>
      <w:r>
        <w:rPr>
          <w:rFonts w:hint="cs"/>
          <w:rtl/>
        </w:rPr>
        <w:t xml:space="preserve"> וחסר</w:t>
      </w:r>
      <w:r w:rsidRPr="005D0448">
        <w:rPr>
          <w:rtl/>
        </w:rPr>
        <w:t>.</w:t>
      </w:r>
    </w:p>
    <w:p w14:paraId="6DC219EB" w14:textId="77777777" w:rsidR="00895667" w:rsidRPr="005D0448" w:rsidRDefault="00895667" w:rsidP="00895667">
      <w:pPr>
        <w:rPr>
          <w:rtl/>
        </w:rPr>
      </w:pPr>
      <w:r w:rsidRPr="005D0448">
        <w:rPr>
          <w:rtl/>
        </w:rPr>
        <w:t>נראה ש</w:t>
      </w:r>
      <w:r>
        <w:rPr>
          <w:rFonts w:hint="cs"/>
          <w:rtl/>
        </w:rPr>
        <w:t xml:space="preserve">צודק ג'פרי רובנשטיין, שכתב </w:t>
      </w:r>
      <w:r w:rsidRPr="005D0448">
        <w:rPr>
          <w:rtl/>
        </w:rPr>
        <w:t xml:space="preserve">שתי השאלות שהזכרנו הן שאלות שהטרידו את חז"ל, שאלות </w:t>
      </w:r>
      <w:r>
        <w:rPr>
          <w:rFonts w:hint="cs"/>
          <w:rtl/>
        </w:rPr>
        <w:t xml:space="preserve">קיומיות מאד מבחינתם: שאלת המעמד של היצירה </w:t>
      </w:r>
      <w:r>
        <w:rPr>
          <w:rFonts w:hint="cs"/>
          <w:rtl/>
        </w:rPr>
        <w:lastRenderedPageBreak/>
        <w:t>התורנית שהם יוצרים, התורה שבעל פה, והיחס בינה לבין התורה שניתנה בידי ה' בעצמו, ושאלת הגמול, או הצדק האלוקי וגורל האדם, או "צדיק ורע לו"</w:t>
      </w:r>
      <w:r w:rsidRPr="005D0448">
        <w:rPr>
          <w:rtl/>
        </w:rPr>
        <w:t xml:space="preserve"> </w:t>
      </w:r>
      <w:r>
        <w:rPr>
          <w:rFonts w:hint="cs"/>
          <w:rtl/>
        </w:rPr>
        <w:t>(המכונה בלע"ז תיאודיציה).</w:t>
      </w:r>
      <w:r>
        <w:rPr>
          <w:rStyle w:val="a5"/>
          <w:rtl/>
        </w:rPr>
        <w:footnoteReference w:id="2"/>
      </w:r>
      <w:r>
        <w:rPr>
          <w:rFonts w:hint="cs"/>
          <w:rtl/>
        </w:rPr>
        <w:t xml:space="preserve"> </w:t>
      </w:r>
      <w:r w:rsidRPr="005D0448">
        <w:rPr>
          <w:rtl/>
        </w:rPr>
        <w:t xml:space="preserve">והדבר בא לידי ביטוי ביצירת הסיפור הזה. כשם שמתיישבת דעתם לגבי השאלה הראשונה, כך נראה שהם נותרים חסרי </w:t>
      </w:r>
      <w:r>
        <w:rPr>
          <w:rFonts w:hint="cs"/>
          <w:rtl/>
        </w:rPr>
        <w:t>מענה, אפילו חסרי אונים,</w:t>
      </w:r>
      <w:r w:rsidRPr="005D0448">
        <w:rPr>
          <w:rtl/>
        </w:rPr>
        <w:t xml:space="preserve"> </w:t>
      </w:r>
      <w:r>
        <w:rPr>
          <w:rFonts w:hint="cs"/>
          <w:rtl/>
        </w:rPr>
        <w:t xml:space="preserve">לגבי </w:t>
      </w:r>
      <w:r w:rsidRPr="005D0448">
        <w:rPr>
          <w:rtl/>
        </w:rPr>
        <w:t>שאלה השנ</w:t>
      </w:r>
      <w:r>
        <w:rPr>
          <w:rFonts w:hint="cs"/>
          <w:rtl/>
        </w:rPr>
        <w:t>י</w:t>
      </w:r>
      <w:r w:rsidRPr="005D0448">
        <w:rPr>
          <w:rtl/>
        </w:rPr>
        <w:t>יה.</w:t>
      </w:r>
    </w:p>
    <w:p w14:paraId="4A693439" w14:textId="77777777" w:rsidR="00895667" w:rsidRPr="005D0448" w:rsidRDefault="00895667" w:rsidP="00895667">
      <w:pPr>
        <w:rPr>
          <w:rtl/>
        </w:rPr>
      </w:pPr>
      <w:r w:rsidRPr="005D0448">
        <w:rPr>
          <w:rtl/>
        </w:rPr>
        <w:t xml:space="preserve">נראה שכך אפשר גם להסביר את </w:t>
      </w:r>
      <w:r>
        <w:rPr>
          <w:rFonts w:hint="cs"/>
          <w:rtl/>
        </w:rPr>
        <w:t xml:space="preserve">שני </w:t>
      </w:r>
      <w:r w:rsidRPr="005D0448">
        <w:rPr>
          <w:rtl/>
        </w:rPr>
        <w:t xml:space="preserve">המבנים של הסיפור. מצד אחד, הסיפור </w:t>
      </w:r>
      <w:r>
        <w:rPr>
          <w:rFonts w:hint="cs"/>
          <w:rtl/>
        </w:rPr>
        <w:t xml:space="preserve">מתחלק </w:t>
      </w:r>
      <w:r w:rsidRPr="005D0448">
        <w:rPr>
          <w:rtl/>
        </w:rPr>
        <w:t>חלוקה תוכנית לפי שני הנושאים הללו: שורות 1</w:t>
      </w:r>
      <w:r>
        <w:rPr>
          <w:rFonts w:hint="cs"/>
          <w:rtl/>
        </w:rPr>
        <w:t>–</w:t>
      </w:r>
      <w:r w:rsidRPr="005D0448">
        <w:rPr>
          <w:rtl/>
        </w:rPr>
        <w:t>6; 7</w:t>
      </w:r>
      <w:r>
        <w:rPr>
          <w:rFonts w:hint="cs"/>
          <w:rtl/>
        </w:rPr>
        <w:t>–</w:t>
      </w:r>
      <w:r w:rsidRPr="005D0448">
        <w:rPr>
          <w:rtl/>
        </w:rPr>
        <w:t xml:space="preserve">13. </w:t>
      </w:r>
      <w:r>
        <w:rPr>
          <w:rFonts w:hint="cs"/>
          <w:rtl/>
        </w:rPr>
        <w:t xml:space="preserve">אלה </w:t>
      </w:r>
      <w:r w:rsidRPr="005D0448">
        <w:rPr>
          <w:rtl/>
        </w:rPr>
        <w:t xml:space="preserve">שני חלקים פחות או יותר שווים, עם שאלות שונות ואווירות שונות לחלוטין. מצד שני, ישנה חלוקה אחרת של מבנה הסיפור המבוססת על </w:t>
      </w:r>
      <w:r>
        <w:rPr>
          <w:rFonts w:hint="cs"/>
          <w:rtl/>
        </w:rPr>
        <w:t>העיצוב המילולי והצורני</w:t>
      </w:r>
      <w:r w:rsidRPr="005D0448">
        <w:rPr>
          <w:rtl/>
        </w:rPr>
        <w:t>, אשר אינה תואמת את החלוקה הראשונה אלא שוברת אותה.</w:t>
      </w:r>
      <w:r w:rsidRPr="005D0448">
        <w:rPr>
          <w:rStyle w:val="a5"/>
          <w:rtl/>
        </w:rPr>
        <w:footnoteReference w:id="3"/>
      </w:r>
      <w:r w:rsidRPr="005D0448">
        <w:rPr>
          <w:rtl/>
        </w:rPr>
        <w:t xml:space="preserve"> </w:t>
      </w:r>
      <w:r>
        <w:rPr>
          <w:rFonts w:hint="cs"/>
          <w:rtl/>
        </w:rPr>
        <w:t>השבירה הזו מבטאת את זה</w:t>
      </w:r>
      <w:r w:rsidRPr="005D0448">
        <w:rPr>
          <w:rtl/>
        </w:rPr>
        <w:t xml:space="preserve"> שהמספרים לא יכלו להפריד באופן מוחלט בין הנושאים – להיות מרוצים מפתרונה של השאלה האחת, ובד בבד מתוסכלים מאי</w:t>
      </w:r>
      <w:r>
        <w:rPr>
          <w:rFonts w:hint="cs"/>
          <w:rtl/>
        </w:rPr>
        <w:t>־</w:t>
      </w:r>
      <w:r w:rsidRPr="005D0448">
        <w:rPr>
          <w:rtl/>
        </w:rPr>
        <w:t xml:space="preserve">פתרון השאלה השנייה. החיים בסופו של דבר הם הוויה אנושית אחת, והדברים גם מתערבבים. </w:t>
      </w:r>
      <w:r>
        <w:rPr>
          <w:rFonts w:hint="cs"/>
          <w:rtl/>
        </w:rPr>
        <w:t>אולי אפילו אפשר לומר שהשילוב בין המבנים והשבירה יוצר אפקט של כאוס</w:t>
      </w:r>
      <w:r w:rsidRPr="005D0448">
        <w:rPr>
          <w:rtl/>
        </w:rPr>
        <w:t>. תחושת הגדלות של האדם על שותפותו בתורה ו</w:t>
      </w:r>
      <w:r>
        <w:rPr>
          <w:rFonts w:hint="cs"/>
          <w:rtl/>
        </w:rPr>
        <w:t xml:space="preserve">תחושת </w:t>
      </w:r>
      <w:r w:rsidRPr="005D0448">
        <w:rPr>
          <w:rtl/>
        </w:rPr>
        <w:t>הקטנות שלו על אי</w:t>
      </w:r>
      <w:r>
        <w:rPr>
          <w:rFonts w:hint="cs"/>
          <w:rtl/>
        </w:rPr>
        <w:t>־</w:t>
      </w:r>
      <w:r w:rsidRPr="005D0448">
        <w:rPr>
          <w:rtl/>
        </w:rPr>
        <w:t xml:space="preserve">הבנת העולם וחוסר </w:t>
      </w:r>
      <w:r>
        <w:rPr>
          <w:rFonts w:hint="cs"/>
          <w:rtl/>
        </w:rPr>
        <w:t>השליטה</w:t>
      </w:r>
      <w:r w:rsidRPr="005D0448">
        <w:rPr>
          <w:rtl/>
        </w:rPr>
        <w:t xml:space="preserve"> שלו בסדרי העולם מתערבבים יחד. לנקודה זו יש אולי היבט חיובי שכן היא מונעת מהאדם לחוש את עצמו כא</w:t>
      </w:r>
      <w:r>
        <w:rPr>
          <w:rFonts w:hint="cs"/>
          <w:rtl/>
        </w:rPr>
        <w:t>-</w:t>
      </w:r>
      <w:r w:rsidRPr="005D0448">
        <w:rPr>
          <w:rtl/>
        </w:rPr>
        <w:t xml:space="preserve">ל ולהגיע להיבריס. מן הצד השני, כאוס זה גם מתסכל ומנמיך את קומתו של האדם. בכל מקרה – החוויה </w:t>
      </w:r>
      <w:r>
        <w:rPr>
          <w:rFonts w:hint="cs"/>
          <w:rtl/>
        </w:rPr>
        <w:t xml:space="preserve">האנושית </w:t>
      </w:r>
      <w:r w:rsidRPr="005D0448">
        <w:rPr>
          <w:rtl/>
        </w:rPr>
        <w:t xml:space="preserve">היא מורכבת, </w:t>
      </w:r>
      <w:r>
        <w:rPr>
          <w:rFonts w:hint="cs"/>
          <w:rtl/>
        </w:rPr>
        <w:t>והמורכבות הזו משודרת היטב בסיפור</w:t>
      </w:r>
      <w:r w:rsidRPr="005D0448">
        <w:rPr>
          <w:rtl/>
        </w:rPr>
        <w:t>.</w:t>
      </w:r>
    </w:p>
    <w:p w14:paraId="41053F41" w14:textId="77777777" w:rsidR="00895667" w:rsidRDefault="00895667" w:rsidP="00895667">
      <w:pPr>
        <w:rPr>
          <w:rtl/>
        </w:rPr>
      </w:pPr>
      <w:r w:rsidRPr="005D0448">
        <w:rPr>
          <w:rtl/>
        </w:rPr>
        <w:t>א</w:t>
      </w:r>
      <w:r>
        <w:rPr>
          <w:rFonts w:hint="cs"/>
          <w:rtl/>
        </w:rPr>
        <w:t>ולי אפשר</w:t>
      </w:r>
      <w:r w:rsidRPr="005D0448">
        <w:rPr>
          <w:rtl/>
        </w:rPr>
        <w:t xml:space="preserve"> לחבר את שני הצדדים שעולים בסיפור זה לשני האלמנטים המרכזיים בסיפור גן עדן – עץ הדעת טוב ורע ועץ החיים. לעץ הדעת, שעשוי לסמל את התורה, בסופו של דבר יש גישה לאדם. האדם זכה בדעת טוב ורע (גם אם לכתחילה זה נעשה בחטא ושלא ברשות, ואכמ"ל), ואכן עניין מרכזי בתורה הוא ההבחנה בין טוב לרע. ברם, עץ החיים, שאולי מסמל בהקשר שלנו את הבנת החיים והשליטה עליהם, נותר מחוץ לתחום עבור האדם...</w:t>
      </w:r>
    </w:p>
    <w:p w14:paraId="01588492" w14:textId="77777777" w:rsidR="00895667" w:rsidRDefault="00895667" w:rsidP="00895667">
      <w:pPr>
        <w:rPr>
          <w:rtl/>
        </w:rPr>
      </w:pPr>
      <w:r>
        <w:rPr>
          <w:rFonts w:hint="cs"/>
          <w:rtl/>
        </w:rPr>
        <w:t>מדרש שמופיע בתלמוד בכמה מקומות</w:t>
      </w:r>
      <w:r w:rsidRPr="00080D87">
        <w:rPr>
          <w:rtl/>
        </w:rPr>
        <w:t xml:space="preserve"> אומר שבמעמד הר סיני חלפה זוהמת הנחש</w:t>
      </w:r>
      <w:r>
        <w:rPr>
          <w:rFonts w:hint="cs"/>
          <w:rtl/>
        </w:rPr>
        <w:t>, למשל: "</w:t>
      </w:r>
      <w:r w:rsidRPr="00113AF2">
        <w:rPr>
          <w:rtl/>
        </w:rPr>
        <w:t>דא"ר יוחנן: בשעה שבא נחש על חוה הטיל בה זוהמא.</w:t>
      </w:r>
      <w:r>
        <w:rPr>
          <w:rFonts w:hint="cs"/>
          <w:rtl/>
        </w:rPr>
        <w:t>..</w:t>
      </w:r>
      <w:r w:rsidRPr="00113AF2">
        <w:rPr>
          <w:rtl/>
        </w:rPr>
        <w:t xml:space="preserve"> ישראל שעמדו על הר סיני </w:t>
      </w:r>
      <w:r>
        <w:rPr>
          <w:rFonts w:hint="cs"/>
          <w:rtl/>
        </w:rPr>
        <w:t>–</w:t>
      </w:r>
      <w:r w:rsidRPr="00113AF2">
        <w:rPr>
          <w:rtl/>
        </w:rPr>
        <w:t xml:space="preserve"> פסקה זוהמתן</w:t>
      </w:r>
      <w:r>
        <w:rPr>
          <w:rFonts w:hint="cs"/>
          <w:rtl/>
        </w:rPr>
        <w:t>" (</w:t>
      </w:r>
      <w:r w:rsidRPr="00113AF2">
        <w:rPr>
          <w:rtl/>
        </w:rPr>
        <w:t>בבלי עבודה זרה כב ע</w:t>
      </w:r>
      <w:r>
        <w:rPr>
          <w:rFonts w:hint="cs"/>
          <w:rtl/>
        </w:rPr>
        <w:t>"</w:t>
      </w:r>
      <w:r w:rsidRPr="00113AF2">
        <w:rPr>
          <w:rtl/>
        </w:rPr>
        <w:t>ב</w:t>
      </w:r>
      <w:r>
        <w:rPr>
          <w:rFonts w:hint="cs"/>
          <w:rtl/>
        </w:rPr>
        <w:t xml:space="preserve">). </w:t>
      </w:r>
    </w:p>
    <w:p w14:paraId="3BE2945B" w14:textId="77777777" w:rsidR="00895667" w:rsidRDefault="00895667" w:rsidP="00895667">
      <w:pPr>
        <w:rPr>
          <w:rtl/>
        </w:rPr>
      </w:pPr>
      <w:r>
        <w:rPr>
          <w:rFonts w:hint="cs"/>
          <w:rtl/>
        </w:rPr>
        <w:t xml:space="preserve">מה הקשר בין מעמד הר סיני לחטא גן עדן ולנחש? רעיון ביאת הנחש על חווה והטלת הזוהמה הוא עניין רחב </w:t>
      </w:r>
      <w:r>
        <w:rPr>
          <w:rFonts w:hint="cs"/>
          <w:rtl/>
        </w:rPr>
        <w:t>שלא אוכל, כמובן, להתעמק בו פה. אבל אפשר להצביע בקצרה על הקשר בין הביאה, שקשורה באותם פרקים של ראשית העולם גם לדעת ("והאדם ידע את חווה אשתו"), לבין האכילה מעץ הדעת. ביאת הנחש על חווה יכולה אפוא להיות סמל לאכילה מעץ הדעת בחטא. אפשר שהחטא, כמו שקורה פעמים רבות בתחום המיני, קשור לא לעצם הביאה כשלעצמה, אלא לסטינג שלה: למסגרת, לעיתוי ולאופן שבה היא נעשית. במקרה הזה אפשר לומר שה</w:t>
      </w:r>
      <w:r w:rsidRPr="00080D87">
        <w:rPr>
          <w:rtl/>
        </w:rPr>
        <w:t xml:space="preserve">אכילה מעץ הדעת </w:t>
      </w:r>
      <w:r>
        <w:rPr>
          <w:rFonts w:hint="cs"/>
          <w:rtl/>
        </w:rPr>
        <w:t xml:space="preserve">היתה </w:t>
      </w:r>
      <w:r w:rsidRPr="00080D87">
        <w:rPr>
          <w:rtl/>
        </w:rPr>
        <w:t>מוקד</w:t>
      </w:r>
      <w:r>
        <w:rPr>
          <w:rFonts w:hint="cs"/>
          <w:rtl/>
        </w:rPr>
        <w:t>מת</w:t>
      </w:r>
      <w:r w:rsidRPr="00080D87">
        <w:rPr>
          <w:rtl/>
        </w:rPr>
        <w:t xml:space="preserve"> מדי</w:t>
      </w:r>
      <w:r>
        <w:rPr>
          <w:rFonts w:hint="cs"/>
          <w:rtl/>
        </w:rPr>
        <w:t xml:space="preserve">. ה', בשלב הזה, אסר עליהם את האכילה הזו, שכן עוד לא היתה בשלות לכך. יכול להיות שבסופו של דבר האדם כן היה מיועד לאכול מעץ הדעת </w:t>
      </w:r>
      <w:r>
        <w:rPr>
          <w:rtl/>
        </w:rPr>
        <w:t>–</w:t>
      </w:r>
      <w:r>
        <w:rPr>
          <w:rFonts w:hint="cs"/>
          <w:rtl/>
        </w:rPr>
        <w:t xml:space="preserve"> כלומר שה' רצה להעניק לאדם את הדעת, והבחירה בין טוב לרע, שהם מרכיבים מרכזיים במה שמגדיר אותו כאדם. אבל עצת הנחש או היצר גרמה להם לעשות זאת לפני הזמן, ובאיסור. </w:t>
      </w:r>
    </w:p>
    <w:p w14:paraId="7E622D30" w14:textId="77777777" w:rsidR="00895667" w:rsidRDefault="00895667" w:rsidP="00895667">
      <w:pPr>
        <w:rPr>
          <w:rtl/>
        </w:rPr>
      </w:pPr>
      <w:r>
        <w:rPr>
          <w:rFonts w:hint="cs"/>
          <w:rtl/>
        </w:rPr>
        <w:t xml:space="preserve">אחד הביטויים של מעשה מיני פגום, שנעשה בדחף של היצר, הוא החד־צדדיות שלו. מעשה מיני אמור להיות הדדי, כששני הצדדים נותנים רשות ומעניקים ומקבלים. במצב החד־צדדי צד אחד סגור בתוך עצמו, מרוכז בעונג ובפורקן של עצמו. בהקשר הזה אפשר עוד לראות את הנחש כמסמל </w:t>
      </w:r>
      <w:r w:rsidRPr="00080D87">
        <w:rPr>
          <w:rtl/>
        </w:rPr>
        <w:t>מעגל סגור</w:t>
      </w:r>
      <w:r>
        <w:rPr>
          <w:rFonts w:hint="cs"/>
          <w:rtl/>
        </w:rPr>
        <w:t>, בדומה לתמונות רבות שבהן הנחש מופיע כ</w:t>
      </w:r>
      <w:r w:rsidRPr="00080D87">
        <w:rPr>
          <w:rtl/>
        </w:rPr>
        <w:t>נושך את זנבו</w:t>
      </w:r>
      <w:r>
        <w:rPr>
          <w:rFonts w:hint="cs"/>
          <w:rtl/>
        </w:rPr>
        <w:t xml:space="preserve"> ומייצר מעגל שסגור בתוך עצמו. 'זוהמת הנחש' היא המצב הסגור הזה. כך נראית לקיחת האדם את פרי עץ הדעת, והדעת עצמה, במקום קבלתה מ</w:t>
      </w:r>
      <w:r w:rsidRPr="00080D87">
        <w:rPr>
          <w:rtl/>
        </w:rPr>
        <w:t>א</w:t>
      </w:r>
      <w:r>
        <w:rPr>
          <w:rFonts w:hint="cs"/>
          <w:rtl/>
        </w:rPr>
        <w:t>-</w:t>
      </w:r>
      <w:r w:rsidRPr="00080D87">
        <w:rPr>
          <w:rtl/>
        </w:rPr>
        <w:t xml:space="preserve">לוהים. התיקון </w:t>
      </w:r>
      <w:r>
        <w:rPr>
          <w:rFonts w:hint="cs"/>
          <w:rtl/>
        </w:rPr>
        <w:t xml:space="preserve">לכך </w:t>
      </w:r>
      <w:r w:rsidRPr="00080D87">
        <w:rPr>
          <w:rtl/>
        </w:rPr>
        <w:t xml:space="preserve">קורה במעמד הר סיני. קבלת התורה </w:t>
      </w:r>
      <w:r>
        <w:rPr>
          <w:rFonts w:hint="cs"/>
          <w:rtl/>
        </w:rPr>
        <w:t xml:space="preserve">כמתנה מה' </w:t>
      </w:r>
      <w:r w:rsidRPr="00080D87">
        <w:rPr>
          <w:rtl/>
        </w:rPr>
        <w:t>היא כמו קבלה מחודשת של הדעת, של טעימה מעץ הדעת</w:t>
      </w:r>
      <w:r>
        <w:rPr>
          <w:rFonts w:hint="cs"/>
          <w:rtl/>
        </w:rPr>
        <w:t>, הפעם ברשות וכמעשה של נתינה</w:t>
      </w:r>
      <w:r w:rsidRPr="00080D87">
        <w:rPr>
          <w:rtl/>
        </w:rPr>
        <w:t>.</w:t>
      </w:r>
    </w:p>
    <w:p w14:paraId="176C96B5" w14:textId="77777777" w:rsidR="00895667" w:rsidRDefault="00895667" w:rsidP="00895667">
      <w:pPr>
        <w:rPr>
          <w:rtl/>
        </w:rPr>
      </w:pPr>
      <w:r>
        <w:rPr>
          <w:rFonts w:hint="cs"/>
          <w:rtl/>
        </w:rPr>
        <w:t xml:space="preserve">בעקבות התיקון של הדעת האדם נהיה שותף לא-לוהים בדעת </w:t>
      </w:r>
      <w:r>
        <w:rPr>
          <w:rtl/>
        </w:rPr>
        <w:t>–</w:t>
      </w:r>
      <w:r>
        <w:rPr>
          <w:rFonts w:hint="cs"/>
          <w:rtl/>
        </w:rPr>
        <w:t xml:space="preserve"> בתורה. </w:t>
      </w:r>
      <w:r w:rsidRPr="00080D87">
        <w:rPr>
          <w:rtl/>
        </w:rPr>
        <w:t xml:space="preserve">ר' עקיבא </w:t>
      </w:r>
      <w:r>
        <w:rPr>
          <w:rFonts w:hint="cs"/>
          <w:rtl/>
        </w:rPr>
        <w:t xml:space="preserve">ממצה את השותפות הזו, </w:t>
      </w:r>
      <w:r w:rsidRPr="00080D87">
        <w:rPr>
          <w:rtl/>
        </w:rPr>
        <w:t xml:space="preserve">משתמש בה באופן </w:t>
      </w:r>
      <w:r>
        <w:rPr>
          <w:rFonts w:hint="cs"/>
          <w:rtl/>
        </w:rPr>
        <w:t xml:space="preserve">פעיל, </w:t>
      </w:r>
      <w:r w:rsidRPr="00080D87">
        <w:rPr>
          <w:rtl/>
        </w:rPr>
        <w:t>יצירתי</w:t>
      </w:r>
      <w:r>
        <w:rPr>
          <w:rFonts w:hint="cs"/>
          <w:rtl/>
        </w:rPr>
        <w:t xml:space="preserve"> ויוצר, </w:t>
      </w:r>
      <w:r w:rsidRPr="00080D87">
        <w:rPr>
          <w:rtl/>
        </w:rPr>
        <w:t xml:space="preserve">אך הוא תמיד </w:t>
      </w:r>
      <w:r>
        <w:rPr>
          <w:rFonts w:hint="cs"/>
          <w:rtl/>
        </w:rPr>
        <w:t xml:space="preserve">גם </w:t>
      </w:r>
      <w:r w:rsidRPr="00080D87">
        <w:rPr>
          <w:rtl/>
        </w:rPr>
        <w:t>מחבר אותה למקור</w:t>
      </w:r>
      <w:r>
        <w:rPr>
          <w:rFonts w:hint="cs"/>
          <w:rtl/>
        </w:rPr>
        <w:t xml:space="preserve">, ליניקה מעץ הדעת המקורי </w:t>
      </w:r>
      <w:r>
        <w:rPr>
          <w:rtl/>
        </w:rPr>
        <w:t>–</w:t>
      </w:r>
      <w:r>
        <w:rPr>
          <w:rFonts w:hint="cs"/>
          <w:rtl/>
        </w:rPr>
        <w:t xml:space="preserve"> התורה </w:t>
      </w:r>
      <w:r>
        <w:rPr>
          <w:rtl/>
        </w:rPr>
        <w:t>–</w:t>
      </w:r>
      <w:r>
        <w:rPr>
          <w:rFonts w:hint="cs"/>
          <w:rtl/>
        </w:rPr>
        <w:t xml:space="preserve"> החלק הא-לוהי בשותפות</w:t>
      </w:r>
      <w:r w:rsidRPr="00080D87">
        <w:rPr>
          <w:rtl/>
        </w:rPr>
        <w:t xml:space="preserve">. </w:t>
      </w:r>
    </w:p>
    <w:p w14:paraId="3BDE526E" w14:textId="3125CACA" w:rsidR="00895667" w:rsidRDefault="00895667" w:rsidP="00895667">
      <w:pPr>
        <w:rPr>
          <w:rtl/>
        </w:rPr>
      </w:pPr>
      <w:r>
        <w:rPr>
          <w:rFonts w:hint="cs"/>
          <w:rtl/>
        </w:rPr>
        <w:t xml:space="preserve">בגלל החטא – מעץ החיים האדם לא זכה לטעום. על פי הפרשנות המוצעת כאן, התחום של עץ החיים, שקשור להבנת מהלך חייו של אדם וגורלו, הסיבתיות שפועלת בתחומים האלה, והשליטה בהם, נותרו חתומים בפני האדם. </w:t>
      </w:r>
    </w:p>
    <w:p w14:paraId="11E16F04" w14:textId="77777777" w:rsidR="00895667" w:rsidRDefault="00895667" w:rsidP="00895667">
      <w:pPr>
        <w:rPr>
          <w:rtl/>
        </w:rPr>
      </w:pPr>
    </w:p>
    <w:p w14:paraId="5B0D1409" w14:textId="77777777" w:rsidR="00895667" w:rsidRDefault="00895667" w:rsidP="00895667">
      <w:pPr>
        <w:pStyle w:val="2"/>
        <w:spacing w:before="240" w:after="120"/>
        <w:rPr>
          <w:rtl/>
        </w:rPr>
      </w:pPr>
      <w:r w:rsidRPr="00121A08">
        <w:rPr>
          <w:rFonts w:hint="cs"/>
          <w:rtl/>
        </w:rPr>
        <w:lastRenderedPageBreak/>
        <w:t>ג.</w:t>
      </w:r>
      <w:r>
        <w:rPr>
          <w:rFonts w:hint="cs"/>
          <w:rtl/>
        </w:rPr>
        <w:t xml:space="preserve"> ההקשר הרחב בסוגיה</w:t>
      </w:r>
    </w:p>
    <w:p w14:paraId="1FC68173" w14:textId="77777777" w:rsidR="00895667" w:rsidRPr="009173B0" w:rsidRDefault="00895667" w:rsidP="00895667">
      <w:pPr>
        <w:rPr>
          <w:rtl/>
        </w:rPr>
      </w:pPr>
      <w:r w:rsidRPr="009173B0">
        <w:rPr>
          <w:rFonts w:hint="cs"/>
          <w:rtl/>
        </w:rPr>
        <w:t>המשנה</w:t>
      </w:r>
      <w:r>
        <w:rPr>
          <w:rFonts w:hint="cs"/>
          <w:rtl/>
        </w:rPr>
        <w:t xml:space="preserve"> במנחות</w:t>
      </w:r>
      <w:r w:rsidRPr="009173B0">
        <w:rPr>
          <w:rFonts w:hint="cs"/>
          <w:rtl/>
        </w:rPr>
        <w:t xml:space="preserve"> קובעת לגבי הפרשיות שכתובות במזוזה ובתפילין שאם חסר חלק מהן המזוזה או התפילין פסולות:</w:t>
      </w:r>
    </w:p>
    <w:p w14:paraId="1D60ED00" w14:textId="77777777" w:rsidR="00895667" w:rsidRPr="009173B0" w:rsidRDefault="00895667" w:rsidP="00895667">
      <w:pPr>
        <w:pStyle w:val="a9"/>
        <w:rPr>
          <w:rtl/>
        </w:rPr>
      </w:pPr>
      <w:r w:rsidRPr="009173B0">
        <w:rPr>
          <w:rtl/>
        </w:rPr>
        <w:t>שתי פרשיות שבמזוזה</w:t>
      </w:r>
      <w:r w:rsidRPr="009173B0">
        <w:rPr>
          <w:rFonts w:hint="cs"/>
          <w:rtl/>
        </w:rPr>
        <w:t>:</w:t>
      </w:r>
      <w:r w:rsidRPr="009173B0">
        <w:rPr>
          <w:rtl/>
        </w:rPr>
        <w:t xml:space="preserve"> "שמע" "והיה אם שמוע"</w:t>
      </w:r>
      <w:r w:rsidRPr="009173B0">
        <w:rPr>
          <w:rFonts w:hint="cs"/>
          <w:rtl/>
        </w:rPr>
        <w:t xml:space="preserve">, </w:t>
      </w:r>
      <w:r w:rsidRPr="009173B0">
        <w:rPr>
          <w:rtl/>
        </w:rPr>
        <w:t>מעכבות זו את זו</w:t>
      </w:r>
      <w:r w:rsidRPr="009173B0">
        <w:rPr>
          <w:rFonts w:hint="cs"/>
          <w:rtl/>
        </w:rPr>
        <w:t>.</w:t>
      </w:r>
      <w:r w:rsidRPr="009173B0">
        <w:rPr>
          <w:rtl/>
        </w:rPr>
        <w:t xml:space="preserve"> </w:t>
      </w:r>
    </w:p>
    <w:p w14:paraId="2A70D2C5" w14:textId="77777777" w:rsidR="00895667" w:rsidRPr="009173B0" w:rsidRDefault="00895667" w:rsidP="00895667">
      <w:pPr>
        <w:pStyle w:val="a9"/>
        <w:rPr>
          <w:rtl/>
        </w:rPr>
      </w:pPr>
      <w:r w:rsidRPr="009173B0">
        <w:rPr>
          <w:rtl/>
        </w:rPr>
        <w:t>ולא זו בלבד, אלא אפילו כתב אחד אות אחת חסרה מעכבן.</w:t>
      </w:r>
    </w:p>
    <w:p w14:paraId="4552AB21" w14:textId="77777777" w:rsidR="00895667" w:rsidRPr="009173B0" w:rsidRDefault="00895667" w:rsidP="00895667">
      <w:pPr>
        <w:pStyle w:val="a9"/>
        <w:rPr>
          <w:rtl/>
        </w:rPr>
      </w:pPr>
      <w:r w:rsidRPr="009173B0">
        <w:rPr>
          <w:rtl/>
        </w:rPr>
        <w:t>וכן ארבע פרשיות שבתפילין, "שמע" "והיה אם שמוע" "קדש לי" "והיה כי יביאך", מעכבין זו את זו, ואפילו כתב אחד מעכבן.</w:t>
      </w:r>
      <w:r w:rsidRPr="00816726">
        <w:rPr>
          <w:rFonts w:hint="cs"/>
          <w:rtl/>
        </w:rPr>
        <w:t xml:space="preserve"> </w:t>
      </w:r>
      <w:r w:rsidRPr="009173B0">
        <w:rPr>
          <w:rFonts w:hint="cs"/>
          <w:rtl/>
        </w:rPr>
        <w:t>(מנחות ג</w:t>
      </w:r>
      <w:r>
        <w:rPr>
          <w:rFonts w:hint="cs"/>
          <w:rtl/>
        </w:rPr>
        <w:t>,</w:t>
      </w:r>
      <w:r w:rsidRPr="009173B0">
        <w:rPr>
          <w:rFonts w:hint="cs"/>
          <w:rtl/>
        </w:rPr>
        <w:t xml:space="preserve"> ב)</w:t>
      </w:r>
    </w:p>
    <w:p w14:paraId="0F7BE97B" w14:textId="77777777" w:rsidR="00895667" w:rsidRPr="009173B0" w:rsidRDefault="00895667" w:rsidP="00895667">
      <w:pPr>
        <w:rPr>
          <w:rtl/>
        </w:rPr>
      </w:pPr>
      <w:r w:rsidRPr="009173B0">
        <w:rPr>
          <w:rFonts w:hint="cs"/>
          <w:rtl/>
        </w:rPr>
        <w:t xml:space="preserve">אפילו חסרונה של אות אחת מהפרשה פוסל.  </w:t>
      </w:r>
    </w:p>
    <w:p w14:paraId="1FB8DB05" w14:textId="77777777" w:rsidR="00895667" w:rsidRPr="009173B0" w:rsidRDefault="00895667" w:rsidP="00895667">
      <w:pPr>
        <w:rPr>
          <w:rtl/>
        </w:rPr>
      </w:pPr>
      <w:r w:rsidRPr="009173B0">
        <w:rPr>
          <w:rFonts w:hint="cs"/>
          <w:rtl/>
        </w:rPr>
        <w:t>הגמרא בסוגיה תמהה על ההלכה הזו במשנה, שהיא לכאורה מובנת מאליה:</w:t>
      </w:r>
    </w:p>
    <w:p w14:paraId="11B6FF4C" w14:textId="77777777" w:rsidR="00895667" w:rsidRPr="009173B0" w:rsidRDefault="00895667" w:rsidP="00895667">
      <w:pPr>
        <w:pStyle w:val="a9"/>
        <w:rPr>
          <w:szCs w:val="20"/>
          <w:rtl/>
        </w:rPr>
      </w:pPr>
      <w:r w:rsidRPr="009173B0">
        <w:rPr>
          <w:rtl/>
        </w:rPr>
        <w:t>שתי פרשיות שבמזוזה מעכבות זו את זו ואפילו כתב אחד מעכבן</w:t>
      </w:r>
      <w:r>
        <w:rPr>
          <w:rFonts w:hint="cs"/>
          <w:rtl/>
        </w:rPr>
        <w:t xml:space="preserve"> </w:t>
      </w:r>
      <w:r>
        <w:rPr>
          <w:rtl/>
        </w:rPr>
        <w:t>–</w:t>
      </w:r>
      <w:r>
        <w:rPr>
          <w:rFonts w:hint="cs"/>
          <w:rtl/>
        </w:rPr>
        <w:t xml:space="preserve"> </w:t>
      </w:r>
      <w:r w:rsidRPr="009173B0">
        <w:rPr>
          <w:rtl/>
        </w:rPr>
        <w:t>פשיטא</w:t>
      </w:r>
      <w:r>
        <w:rPr>
          <w:rFonts w:hint="cs"/>
          <w:rtl/>
        </w:rPr>
        <w:t>!</w:t>
      </w:r>
      <w:r w:rsidRPr="009173B0">
        <w:rPr>
          <w:rtl/>
        </w:rPr>
        <w:t xml:space="preserve"> אמר רב יהודה אמר רב לא נצרכה אלא לקוצה של יוד</w:t>
      </w:r>
      <w:r>
        <w:rPr>
          <w:rFonts w:hint="cs"/>
          <w:rtl/>
        </w:rPr>
        <w:t xml:space="preserve">. </w:t>
      </w:r>
      <w:r>
        <w:rPr>
          <w:rFonts w:hint="cs"/>
          <w:szCs w:val="20"/>
          <w:rtl/>
        </w:rPr>
        <w:t xml:space="preserve">[ההלכה במשנה נצרכה כדי להבהיר שגם אם חסר רק חלק קטן של אות, כגון הרגל של היו"ד </w:t>
      </w:r>
      <w:r>
        <w:rPr>
          <w:szCs w:val="20"/>
          <w:rtl/>
        </w:rPr>
        <w:t>–</w:t>
      </w:r>
      <w:r>
        <w:rPr>
          <w:rFonts w:hint="cs"/>
          <w:szCs w:val="20"/>
          <w:rtl/>
        </w:rPr>
        <w:t xml:space="preserve"> פסולה].</w:t>
      </w:r>
      <w:r w:rsidRPr="009173B0">
        <w:rPr>
          <w:rtl/>
        </w:rPr>
        <w:t xml:space="preserve"> והא נמי פשיטא</w:t>
      </w:r>
      <w:r>
        <w:rPr>
          <w:rFonts w:hint="cs"/>
          <w:rtl/>
        </w:rPr>
        <w:t xml:space="preserve">! </w:t>
      </w:r>
      <w:r>
        <w:rPr>
          <w:rFonts w:hint="cs"/>
          <w:szCs w:val="20"/>
          <w:rtl/>
        </w:rPr>
        <w:t>[והרי זה גם פשוט, משום שאם חסר חלק מהאות זה כמו שהאות לא כתובה, וחסרה אות].</w:t>
      </w:r>
      <w:r w:rsidRPr="009173B0">
        <w:rPr>
          <w:rtl/>
        </w:rPr>
        <w:t xml:space="preserve"> אלא לכאידך דרב יהודה אמר רב </w:t>
      </w:r>
      <w:r>
        <w:rPr>
          <w:rFonts w:hint="cs"/>
          <w:szCs w:val="20"/>
          <w:rtl/>
        </w:rPr>
        <w:t xml:space="preserve">[אלא הדין במשנה נאמר בשביל ללמד הלכה אחרת של רב יהודה בשם רב] </w:t>
      </w:r>
      <w:r w:rsidRPr="009173B0">
        <w:rPr>
          <w:rtl/>
        </w:rPr>
        <w:t>דאמר רב יהודה אמר רב כל אות שאין גויל מוקף לה מארבע רוחותיה פסולה</w:t>
      </w:r>
      <w:r>
        <w:rPr>
          <w:rFonts w:hint="cs"/>
          <w:rtl/>
        </w:rPr>
        <w:t xml:space="preserve"> </w:t>
      </w:r>
      <w:r>
        <w:rPr>
          <w:rFonts w:hint="cs"/>
          <w:szCs w:val="20"/>
          <w:rtl/>
        </w:rPr>
        <w:t xml:space="preserve">[אם אות דבוקה לחברתה ולא מוקפת בלבן של הגויל (הקלף) מכל צדדיה </w:t>
      </w:r>
      <w:r>
        <w:rPr>
          <w:szCs w:val="20"/>
          <w:rtl/>
        </w:rPr>
        <w:t>–</w:t>
      </w:r>
      <w:r>
        <w:rPr>
          <w:rFonts w:hint="cs"/>
          <w:szCs w:val="20"/>
          <w:rtl/>
        </w:rPr>
        <w:t xml:space="preserve"> פסולה]</w:t>
      </w:r>
      <w:r w:rsidRPr="00816726">
        <w:rPr>
          <w:rFonts w:hint="cs"/>
          <w:rtl/>
        </w:rPr>
        <w:t xml:space="preserve">. </w:t>
      </w:r>
      <w:r w:rsidRPr="009173B0">
        <w:rPr>
          <w:rFonts w:hint="cs"/>
          <w:rtl/>
        </w:rPr>
        <w:t>(מנחות כט ע"א)</w:t>
      </w:r>
    </w:p>
    <w:p w14:paraId="346CCE18" w14:textId="77777777" w:rsidR="00895667" w:rsidRDefault="00895667" w:rsidP="00895667">
      <w:pPr>
        <w:rPr>
          <w:rtl/>
        </w:rPr>
      </w:pPr>
      <w:r>
        <w:rPr>
          <w:rFonts w:hint="cs"/>
          <w:rtl/>
        </w:rPr>
        <w:t xml:space="preserve">מההלכה במשנה והדיון עליה בסוגיה עולה במישור ההלכתי המשמעות של כל אות. חיסרון של חלק מאות פוסל את המזוזה או התפילין. את הקביעה ההלכתית הזו משלימה האמירה שבסיפור, שלכל אות יש חשיבות בעיני ה', וכל אות יכולה לשמש את ר' עקיבא כדי ללמוד הלכות חדשות. בסוגיה עולה גם הדרישה ההלכתית שכל אות תהיה מוקפת ב'רווח' לבן מכל צדדיה. יתכן שהמשמעות הרעיונית של הרווח ההכרחי הזה היא המרחב שמשאיר הכותב, הקב"ה, בין האותיות, בין המילים ובין השורות, שאליו יכול להיכנס האדם, לומד התורה. לשם ייכנסו מחשבותיו, רעיונותיו, לבטיו, ספקותיו והיצירה החדשה שהוא ייצור מאותיות התורה. </w:t>
      </w:r>
    </w:p>
    <w:p w14:paraId="4D2B2D22" w14:textId="77777777" w:rsidR="00895667" w:rsidRDefault="00895667" w:rsidP="00895667">
      <w:pPr>
        <w:rPr>
          <w:rtl/>
        </w:rPr>
      </w:pPr>
      <w:r>
        <w:rPr>
          <w:rFonts w:hint="cs"/>
          <w:rtl/>
        </w:rPr>
        <w:t xml:space="preserve">כך, בסוגיה זו ההלכה והאגדה משלימות זו את זו, משמשות שני צדדים של אותו עניין </w:t>
      </w:r>
      <w:r>
        <w:rPr>
          <w:rtl/>
        </w:rPr>
        <w:t>–</w:t>
      </w:r>
      <w:r>
        <w:rPr>
          <w:rFonts w:hint="cs"/>
          <w:rtl/>
        </w:rPr>
        <w:t xml:space="preserve"> ההלכה יוצרת את הנורמה, והאגדה משלימה את הפן הרעיוני שעומד מאחורי הנורמה ומסביר את המשמעות העמוקה שעומדת מאחורי הנורמה.</w:t>
      </w:r>
    </w:p>
    <w:p w14:paraId="0C6F56F5" w14:textId="77777777" w:rsidR="00895667" w:rsidRDefault="00895667" w:rsidP="00895667">
      <w:pPr>
        <w:rPr>
          <w:rtl/>
        </w:rPr>
      </w:pPr>
    </w:p>
    <w:p w14:paraId="55FBEDB1" w14:textId="651ACAF9" w:rsidR="00160BB3" w:rsidRDefault="00895667" w:rsidP="00895667">
      <w:pPr>
        <w:rPr>
          <w:rtl/>
        </w:rPr>
      </w:pPr>
      <w:r>
        <w:rPr>
          <w:rFonts w:hint="cs"/>
          <w:rtl/>
        </w:rPr>
        <w:t>בשיעור הבא אמשיך להתעמק באגדה הזו, כאשר אשווה את מה שעלה מניתוח האגדה כאן למחשבות שעולות מאחד מסיוריו של ר' נחמן מברסלב.</w:t>
      </w:r>
    </w:p>
    <w:tbl>
      <w:tblPr>
        <w:tblpPr w:leftFromText="180" w:rightFromText="180" w:vertAnchor="text" w:horzAnchor="margin" w:tblpY="319"/>
        <w:bidiVisual/>
        <w:tblW w:w="4678" w:type="dxa"/>
        <w:tblLayout w:type="fixed"/>
        <w:tblLook w:val="0000" w:firstRow="0" w:lastRow="0" w:firstColumn="0" w:lastColumn="0" w:noHBand="0" w:noVBand="0"/>
      </w:tblPr>
      <w:tblGrid>
        <w:gridCol w:w="283"/>
        <w:gridCol w:w="4111"/>
        <w:gridCol w:w="284"/>
      </w:tblGrid>
      <w:tr w:rsidR="00895667" w14:paraId="7460423B" w14:textId="77777777" w:rsidTr="00895667">
        <w:trPr>
          <w:cantSplit/>
        </w:trPr>
        <w:tc>
          <w:tcPr>
            <w:tcW w:w="283" w:type="dxa"/>
            <w:tcBorders>
              <w:top w:val="nil"/>
              <w:left w:val="nil"/>
              <w:bottom w:val="nil"/>
              <w:right w:val="nil"/>
            </w:tcBorders>
          </w:tcPr>
          <w:p w14:paraId="6174703C" w14:textId="77777777" w:rsidR="00895667" w:rsidRDefault="00895667" w:rsidP="00895667">
            <w:pPr>
              <w:pStyle w:val="ab"/>
            </w:pPr>
            <w:r>
              <w:rPr>
                <w:rtl/>
              </w:rPr>
              <w:t>*</w:t>
            </w:r>
          </w:p>
        </w:tc>
        <w:tc>
          <w:tcPr>
            <w:tcW w:w="4111" w:type="dxa"/>
            <w:tcBorders>
              <w:top w:val="nil"/>
              <w:left w:val="nil"/>
              <w:bottom w:val="nil"/>
              <w:right w:val="nil"/>
            </w:tcBorders>
          </w:tcPr>
          <w:p w14:paraId="4B029306" w14:textId="77777777" w:rsidR="00895667" w:rsidRDefault="00895667" w:rsidP="00895667">
            <w:pPr>
              <w:pStyle w:val="ab"/>
            </w:pPr>
            <w:r>
              <w:rPr>
                <w:rtl/>
              </w:rPr>
              <w:t>**********************************************************</w:t>
            </w:r>
          </w:p>
        </w:tc>
        <w:tc>
          <w:tcPr>
            <w:tcW w:w="284" w:type="dxa"/>
            <w:tcBorders>
              <w:top w:val="nil"/>
              <w:left w:val="nil"/>
              <w:bottom w:val="nil"/>
              <w:right w:val="nil"/>
            </w:tcBorders>
          </w:tcPr>
          <w:p w14:paraId="3CCF363B" w14:textId="77777777" w:rsidR="00895667" w:rsidRDefault="00895667" w:rsidP="00895667">
            <w:pPr>
              <w:pStyle w:val="ab"/>
            </w:pPr>
            <w:r>
              <w:rPr>
                <w:rtl/>
              </w:rPr>
              <w:t>*</w:t>
            </w:r>
          </w:p>
        </w:tc>
      </w:tr>
      <w:tr w:rsidR="00895667" w14:paraId="28619C75" w14:textId="77777777" w:rsidTr="00895667">
        <w:trPr>
          <w:cantSplit/>
        </w:trPr>
        <w:tc>
          <w:tcPr>
            <w:tcW w:w="283" w:type="dxa"/>
            <w:tcBorders>
              <w:top w:val="nil"/>
              <w:left w:val="nil"/>
              <w:bottom w:val="nil"/>
              <w:right w:val="nil"/>
            </w:tcBorders>
          </w:tcPr>
          <w:p w14:paraId="2BD9D89B" w14:textId="77777777" w:rsidR="00895667" w:rsidRDefault="00895667" w:rsidP="00895667">
            <w:pPr>
              <w:pStyle w:val="ab"/>
            </w:pPr>
            <w:r>
              <w:rPr>
                <w:rtl/>
              </w:rPr>
              <w:t xml:space="preserve">* * * * * * * </w:t>
            </w:r>
          </w:p>
        </w:tc>
        <w:tc>
          <w:tcPr>
            <w:tcW w:w="4111" w:type="dxa"/>
            <w:tcBorders>
              <w:top w:val="nil"/>
              <w:left w:val="nil"/>
              <w:bottom w:val="nil"/>
              <w:right w:val="nil"/>
            </w:tcBorders>
          </w:tcPr>
          <w:p w14:paraId="5F577FDC" w14:textId="77777777" w:rsidR="00895667" w:rsidRDefault="00895667" w:rsidP="00895667">
            <w:pPr>
              <w:pStyle w:val="ab"/>
              <w:rPr>
                <w:rtl/>
              </w:rPr>
            </w:pPr>
            <w:r>
              <w:rPr>
                <w:rtl/>
              </w:rPr>
              <w:t>כל הזכויות שמורות לישיבת הר עציון</w:t>
            </w:r>
            <w:r>
              <w:rPr>
                <w:rFonts w:hint="cs"/>
                <w:rtl/>
              </w:rPr>
              <w:t xml:space="preserve"> ולד"ר יונתן פיינטוך</w:t>
            </w:r>
          </w:p>
          <w:p w14:paraId="3AD0F4B0" w14:textId="77777777" w:rsidR="00895667" w:rsidRDefault="00895667" w:rsidP="00895667">
            <w:pPr>
              <w:pStyle w:val="ab"/>
              <w:rPr>
                <w:rtl/>
              </w:rPr>
            </w:pPr>
            <w:r>
              <w:rPr>
                <w:rtl/>
              </w:rPr>
              <w:t>עורך:</w:t>
            </w:r>
            <w:r>
              <w:rPr>
                <w:rFonts w:hint="cs"/>
                <w:rtl/>
              </w:rPr>
              <w:t xml:space="preserve"> נדב גרשון, תשפ"ג</w:t>
            </w:r>
          </w:p>
          <w:p w14:paraId="7D47CEA3" w14:textId="77777777" w:rsidR="00895667" w:rsidRDefault="00895667" w:rsidP="00895667">
            <w:pPr>
              <w:pStyle w:val="ab"/>
              <w:rPr>
                <w:rtl/>
              </w:rPr>
            </w:pPr>
            <w:r>
              <w:rPr>
                <w:rtl/>
              </w:rPr>
              <w:t>*******************************************************</w:t>
            </w:r>
          </w:p>
          <w:p w14:paraId="46CF4717" w14:textId="77777777" w:rsidR="00895667" w:rsidRDefault="00895667" w:rsidP="00895667">
            <w:pPr>
              <w:pStyle w:val="ab"/>
              <w:rPr>
                <w:rtl/>
              </w:rPr>
            </w:pPr>
            <w:r>
              <w:rPr>
                <w:rtl/>
              </w:rPr>
              <w:t xml:space="preserve">בית המדרש הוירטואלי </w:t>
            </w:r>
          </w:p>
          <w:p w14:paraId="18E70B35" w14:textId="77777777" w:rsidR="00895667" w:rsidRPr="005734F1" w:rsidRDefault="00895667" w:rsidP="00895667">
            <w:pPr>
              <w:pStyle w:val="ab"/>
              <w:rPr>
                <w:rtl/>
              </w:rPr>
            </w:pPr>
            <w:r w:rsidRPr="005734F1">
              <w:rPr>
                <w:rtl/>
              </w:rPr>
              <w:t xml:space="preserve">מיסודו של </w:t>
            </w:r>
          </w:p>
          <w:p w14:paraId="72A5BF86" w14:textId="77777777" w:rsidR="00895667" w:rsidRPr="005734F1" w:rsidRDefault="00895667" w:rsidP="00895667">
            <w:pPr>
              <w:pStyle w:val="ab"/>
              <w:rPr>
                <w:rtl/>
              </w:rPr>
            </w:pPr>
            <w:r w:rsidRPr="005734F1">
              <w:t>The Israel Koschitzky Virtual Beit Midrash</w:t>
            </w:r>
          </w:p>
          <w:p w14:paraId="5BB17EA0" w14:textId="77777777" w:rsidR="00895667" w:rsidRDefault="00895667" w:rsidP="00895667">
            <w:pPr>
              <w:pStyle w:val="ab"/>
              <w:rPr>
                <w:noProof w:val="0"/>
                <w:rtl/>
              </w:rPr>
            </w:pPr>
            <w:r>
              <w:rPr>
                <w:noProof w:val="0"/>
                <w:rtl/>
              </w:rPr>
              <w:t>האתר בעברית:</w:t>
            </w:r>
            <w:r>
              <w:rPr>
                <w:noProof w:val="0"/>
                <w:rtl/>
              </w:rPr>
              <w:tab/>
            </w:r>
            <w:hyperlink r:id="rId8" w:history="1">
              <w:r w:rsidRPr="00525582">
                <w:rPr>
                  <w:rStyle w:val="Hyperlink"/>
                </w:rPr>
                <w:t>http://vbm.etzion.org.il</w:t>
              </w:r>
            </w:hyperlink>
          </w:p>
          <w:p w14:paraId="43539F36" w14:textId="77777777" w:rsidR="00895667" w:rsidRDefault="00895667" w:rsidP="00895667">
            <w:pPr>
              <w:pStyle w:val="ab"/>
              <w:rPr>
                <w:noProof w:val="0"/>
                <w:rtl/>
              </w:rPr>
            </w:pPr>
            <w:r>
              <w:rPr>
                <w:noProof w:val="0"/>
                <w:rtl/>
              </w:rPr>
              <w:t>האתר באנגלית:</w:t>
            </w:r>
            <w:r>
              <w:rPr>
                <w:noProof w:val="0"/>
                <w:rtl/>
              </w:rPr>
              <w:tab/>
            </w:r>
            <w:hyperlink r:id="rId9" w:history="1">
              <w:r>
                <w:rPr>
                  <w:rStyle w:val="Hyperlink"/>
                </w:rPr>
                <w:t>http://www.vbm-torah.org</w:t>
              </w:r>
            </w:hyperlink>
          </w:p>
          <w:p w14:paraId="7A0FA159" w14:textId="77777777" w:rsidR="00895667" w:rsidRDefault="00895667" w:rsidP="00895667">
            <w:pPr>
              <w:pStyle w:val="ab"/>
              <w:rPr>
                <w:rtl/>
              </w:rPr>
            </w:pPr>
          </w:p>
          <w:p w14:paraId="44ADBF27" w14:textId="77777777" w:rsidR="00895667" w:rsidRDefault="00895667" w:rsidP="00895667">
            <w:pPr>
              <w:pStyle w:val="ab"/>
              <w:rPr>
                <w:rtl/>
              </w:rPr>
            </w:pPr>
            <w:r>
              <w:rPr>
                <w:rtl/>
              </w:rPr>
              <w:t xml:space="preserve">משרדי בית המדרש הוירטואלי: 02-9937300 שלוחה 5 </w:t>
            </w:r>
          </w:p>
          <w:p w14:paraId="588B23B1" w14:textId="77777777" w:rsidR="00895667" w:rsidRDefault="00895667" w:rsidP="00895667">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6CE5260C" w14:textId="77777777" w:rsidR="00895667" w:rsidRDefault="00895667" w:rsidP="00895667">
            <w:pPr>
              <w:pStyle w:val="ab"/>
            </w:pPr>
          </w:p>
        </w:tc>
        <w:tc>
          <w:tcPr>
            <w:tcW w:w="284" w:type="dxa"/>
            <w:tcBorders>
              <w:top w:val="nil"/>
              <w:left w:val="nil"/>
              <w:bottom w:val="nil"/>
              <w:right w:val="nil"/>
            </w:tcBorders>
          </w:tcPr>
          <w:p w14:paraId="2DF19804" w14:textId="77777777" w:rsidR="00895667" w:rsidRDefault="00895667" w:rsidP="00895667">
            <w:pPr>
              <w:pStyle w:val="ab"/>
            </w:pPr>
            <w:r>
              <w:rPr>
                <w:rtl/>
              </w:rPr>
              <w:t xml:space="preserve">* * * * * * * </w:t>
            </w:r>
          </w:p>
        </w:tc>
      </w:tr>
    </w:tbl>
    <w:p w14:paraId="2EDD2CF6" w14:textId="77777777" w:rsidR="00CD1025" w:rsidRDefault="00CD1025" w:rsidP="002403F4">
      <w:pPr>
        <w:pStyle w:val="a9"/>
        <w:rPr>
          <w:rtl/>
        </w:rPr>
      </w:pPr>
    </w:p>
    <w:p w14:paraId="258B77F8" w14:textId="77777777" w:rsidR="00CD1025" w:rsidRDefault="00CD1025" w:rsidP="002403F4">
      <w:pPr>
        <w:pStyle w:val="a9"/>
        <w:rPr>
          <w:rtl/>
        </w:rPr>
      </w:pPr>
    </w:p>
    <w:sectPr w:rsidR="00CD1025"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4CE35" w14:textId="77777777" w:rsidR="0072247C" w:rsidRDefault="0072247C" w:rsidP="00405665">
      <w:r>
        <w:separator/>
      </w:r>
    </w:p>
  </w:endnote>
  <w:endnote w:type="continuationSeparator" w:id="0">
    <w:p w14:paraId="40787B8A" w14:textId="77777777" w:rsidR="0072247C" w:rsidRDefault="0072247C"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EFD9E" w14:textId="77777777" w:rsidR="0072247C" w:rsidRDefault="0072247C" w:rsidP="00405665">
      <w:r>
        <w:separator/>
      </w:r>
    </w:p>
  </w:footnote>
  <w:footnote w:type="continuationSeparator" w:id="0">
    <w:p w14:paraId="008F9EC8" w14:textId="77777777" w:rsidR="0072247C" w:rsidRDefault="0072247C" w:rsidP="00405665">
      <w:r>
        <w:continuationSeparator/>
      </w:r>
    </w:p>
  </w:footnote>
  <w:footnote w:id="1">
    <w:p w14:paraId="7377B42E" w14:textId="42312AF4" w:rsidR="00895667" w:rsidRDefault="00895667" w:rsidP="00895667">
      <w:pPr>
        <w:pStyle w:val="a3"/>
      </w:pPr>
      <w:r>
        <w:rPr>
          <w:rStyle w:val="a5"/>
          <w:rFonts w:eastAsia="Narkisim"/>
        </w:rPr>
        <w:footnoteRef/>
      </w:r>
      <w:r>
        <w:rPr>
          <w:rtl/>
        </w:rPr>
        <w:t xml:space="preserve"> </w:t>
      </w:r>
      <w:r>
        <w:rPr>
          <w:rtl/>
        </w:rPr>
        <w:tab/>
      </w:r>
      <w:r>
        <w:rPr>
          <w:rFonts w:hint="cs"/>
          <w:rtl/>
        </w:rPr>
        <w:t>ניתוח יותר מפורט שלו מופיע בשיעור שלי ב-</w:t>
      </w:r>
      <w:r>
        <w:rPr>
          <w:rFonts w:hint="cs"/>
        </w:rPr>
        <w:t>VBM</w:t>
      </w:r>
      <w:r>
        <w:rPr>
          <w:rFonts w:hint="cs"/>
          <w:rtl/>
        </w:rPr>
        <w:t xml:space="preserve"> – </w:t>
      </w:r>
      <w:hyperlink r:id="rId1" w:history="1">
        <w:r w:rsidRPr="00B05530">
          <w:rPr>
            <w:rStyle w:val="Hyperlink"/>
            <w:rFonts w:hint="cs"/>
            <w:rtl/>
          </w:rPr>
          <w:t>שיעור ראשון</w:t>
        </w:r>
      </w:hyperlink>
      <w:r>
        <w:rPr>
          <w:rFonts w:hint="cs"/>
          <w:rtl/>
        </w:rPr>
        <w:t xml:space="preserve"> | </w:t>
      </w:r>
      <w:hyperlink r:id="rId2" w:history="1">
        <w:r w:rsidRPr="00B05530">
          <w:rPr>
            <w:rStyle w:val="Hyperlink"/>
            <w:rFonts w:hint="cs"/>
            <w:rtl/>
          </w:rPr>
          <w:t>שיעור שני</w:t>
        </w:r>
      </w:hyperlink>
      <w:r>
        <w:rPr>
          <w:rFonts w:hint="cs"/>
          <w:rtl/>
        </w:rPr>
        <w:t xml:space="preserve">. </w:t>
      </w:r>
    </w:p>
  </w:footnote>
  <w:footnote w:id="2">
    <w:p w14:paraId="52482B64" w14:textId="682FA0DB" w:rsidR="00895667" w:rsidRPr="00CE7B7D" w:rsidRDefault="00895667" w:rsidP="00895667">
      <w:pPr>
        <w:pStyle w:val="a3"/>
      </w:pPr>
      <w:r>
        <w:rPr>
          <w:rStyle w:val="a5"/>
          <w:rFonts w:eastAsia="Narkisim"/>
        </w:rPr>
        <w:footnoteRef/>
      </w:r>
      <w:r>
        <w:rPr>
          <w:rtl/>
        </w:rPr>
        <w:t xml:space="preserve"> </w:t>
      </w:r>
      <w:r>
        <w:rPr>
          <w:rtl/>
        </w:rPr>
        <w:tab/>
      </w:r>
      <w:r>
        <w:t xml:space="preserve">Jeffrey Rubenstein, </w:t>
      </w:r>
      <w:r>
        <w:rPr>
          <w:i/>
          <w:iCs/>
        </w:rPr>
        <w:t>Stories of the Babylonian Talmud</w:t>
      </w:r>
      <w:r>
        <w:t xml:space="preserve">, </w:t>
      </w:r>
      <w:r w:rsidRPr="00E66860">
        <w:t>Baltimore 2010</w:t>
      </w:r>
      <w:r>
        <w:t>, p. 201.</w:t>
      </w:r>
    </w:p>
  </w:footnote>
  <w:footnote w:id="3">
    <w:p w14:paraId="35B57DB6" w14:textId="43BC0786" w:rsidR="00895667" w:rsidRDefault="00895667" w:rsidP="00895667">
      <w:pPr>
        <w:pStyle w:val="a3"/>
        <w:rPr>
          <w:rtl/>
        </w:rPr>
      </w:pPr>
      <w:r>
        <w:rPr>
          <w:rStyle w:val="a5"/>
          <w:rFonts w:eastAsia="Narkisim"/>
        </w:rPr>
        <w:footnoteRef/>
      </w:r>
      <w:r>
        <w:rPr>
          <w:rtl/>
        </w:rPr>
        <w:t xml:space="preserve"> </w:t>
      </w:r>
      <w:r>
        <w:rPr>
          <w:rtl/>
        </w:rPr>
        <w:tab/>
      </w:r>
      <w:r>
        <w:rPr>
          <w:rFonts w:hint="cs"/>
          <w:rtl/>
        </w:rPr>
        <w:t xml:space="preserve">ראו </w:t>
      </w:r>
      <w:hyperlink r:id="rId3" w:history="1">
        <w:r w:rsidRPr="00816726">
          <w:rPr>
            <w:rStyle w:val="Hyperlink"/>
            <w:rFonts w:hint="cs"/>
            <w:rtl/>
          </w:rPr>
          <w:t>בשיעור הקודם</w:t>
        </w:r>
      </w:hyperlink>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D0ED" w14:textId="57BE052E" w:rsidR="00680CBB" w:rsidRDefault="00680CBB" w:rsidP="007D3634">
    <w:pPr>
      <w:pStyle w:val="a6"/>
      <w:jc w:val="center"/>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48D2945E" w14:textId="5382DA9F" w:rsidR="007769B1" w:rsidRPr="006216C9" w:rsidRDefault="002874C2" w:rsidP="006216C9">
          <w:pPr>
            <w:spacing w:after="0"/>
            <w:rPr>
              <w:sz w:val="22"/>
              <w:szCs w:val="22"/>
            </w:rPr>
          </w:pPr>
          <w:r>
            <w:rPr>
              <w:rFonts w:hint="cs"/>
              <w:sz w:val="22"/>
              <w:szCs w:val="22"/>
              <w:rtl/>
            </w:rPr>
            <w:t>אגד</w:t>
          </w:r>
          <w:r w:rsidR="00B96A4B">
            <w:rPr>
              <w:rFonts w:hint="cs"/>
              <w:sz w:val="22"/>
              <w:szCs w:val="22"/>
              <w:rtl/>
            </w:rPr>
            <w:t>ות חז"ל</w:t>
          </w:r>
          <w:r w:rsidR="00990BE2">
            <w:rPr>
              <w:rFonts w:hint="cs"/>
              <w:sz w:val="22"/>
              <w:szCs w:val="22"/>
              <w:rtl/>
            </w:rPr>
            <w:t xml:space="preserve"> וסיפורי צדיקים</w:t>
          </w:r>
        </w:p>
      </w:tc>
      <w:tc>
        <w:tcPr>
          <w:tcW w:w="3348" w:type="dxa"/>
          <w:tcBorders>
            <w:bottom w:val="double" w:sz="4" w:space="0" w:color="auto"/>
          </w:tcBorders>
          <w:vAlign w:val="center"/>
        </w:tcPr>
        <w:p w14:paraId="5192AA79" w14:textId="77777777" w:rsidR="007769B1" w:rsidRPr="006216C9" w:rsidRDefault="007769B1" w:rsidP="006216C9">
          <w:pPr>
            <w:bidi w:val="0"/>
            <w:spacing w:after="0"/>
            <w:rPr>
              <w:sz w:val="22"/>
              <w:szCs w:val="22"/>
            </w:rPr>
          </w:pPr>
          <w:r w:rsidRPr="006216C9">
            <w:rPr>
              <w:sz w:val="22"/>
              <w:szCs w:val="22"/>
            </w:rPr>
            <w:t>www.vbm.etzion.org.il</w:t>
          </w:r>
        </w:p>
      </w:tc>
    </w:tr>
  </w:tbl>
  <w:p w14:paraId="36BA1F68"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1"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2" w15:restartNumberingAfterBreak="0">
    <w:nsid w:val="2E9668B7"/>
    <w:multiLevelType w:val="hybridMultilevel"/>
    <w:tmpl w:val="1E983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4"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5"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6"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7"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8" w15:restartNumberingAfterBreak="0">
    <w:nsid w:val="444C4F46"/>
    <w:multiLevelType w:val="hybridMultilevel"/>
    <w:tmpl w:val="F3EA1ED8"/>
    <w:lvl w:ilvl="0" w:tplc="DA0A60C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20"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21" w15:restartNumberingAfterBreak="0">
    <w:nsid w:val="49405695"/>
    <w:multiLevelType w:val="hybridMultilevel"/>
    <w:tmpl w:val="9A2C359A"/>
    <w:lvl w:ilvl="0" w:tplc="D0088234">
      <w:start w:val="1"/>
      <w:numFmt w:val="decimal"/>
      <w:lvlText w:val="%1."/>
      <w:lvlJc w:val="left"/>
      <w:pPr>
        <w:ind w:left="720" w:hanging="360"/>
      </w:pPr>
      <w:rPr>
        <w:rFonts w:cs="Narkisim" w:hint="default"/>
        <w:bCs w:val="0"/>
        <w:iCs w:val="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72604D"/>
    <w:multiLevelType w:val="hybridMultilevel"/>
    <w:tmpl w:val="5ED8F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4" w15:restartNumberingAfterBreak="0">
    <w:nsid w:val="51A445D7"/>
    <w:multiLevelType w:val="hybridMultilevel"/>
    <w:tmpl w:val="563EF7F4"/>
    <w:lvl w:ilvl="0" w:tplc="7AAA36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D0642F"/>
    <w:multiLevelType w:val="hybridMultilevel"/>
    <w:tmpl w:val="6978976A"/>
    <w:lvl w:ilvl="0" w:tplc="3432EFB2">
      <w:start w:val="1"/>
      <w:numFmt w:val="hebrew1"/>
      <w:lvlText w:val="%1."/>
      <w:lvlJc w:val="left"/>
      <w:pPr>
        <w:ind w:left="720" w:hanging="360"/>
      </w:pPr>
      <w:rPr>
        <w:rFonts w:asciiTheme="majorBidi" w:eastAsiaTheme="minorHAnsi" w:hAnsiTheme="majorBidi" w:cs="Narkisim"/>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8E3B8B"/>
    <w:multiLevelType w:val="hybridMultilevel"/>
    <w:tmpl w:val="735C2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11268A"/>
    <w:multiLevelType w:val="hybridMultilevel"/>
    <w:tmpl w:val="3DDCAF94"/>
    <w:lvl w:ilvl="0" w:tplc="FEE0A50C">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9"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30"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31"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32"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33"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34"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35" w15:restartNumberingAfterBreak="0">
    <w:nsid w:val="635C0213"/>
    <w:multiLevelType w:val="hybridMultilevel"/>
    <w:tmpl w:val="DD524C98"/>
    <w:lvl w:ilvl="0" w:tplc="BB94918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37"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38"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9"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40" w15:restartNumberingAfterBreak="0">
    <w:nsid w:val="7DEF7B22"/>
    <w:multiLevelType w:val="hybridMultilevel"/>
    <w:tmpl w:val="3B0E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42"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abstractNum w:abstractNumId="43" w15:restartNumberingAfterBreak="0">
    <w:nsid w:val="7F64658C"/>
    <w:multiLevelType w:val="hybridMultilevel"/>
    <w:tmpl w:val="D272EDD0"/>
    <w:lvl w:ilvl="0" w:tplc="10AE6492">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792283608">
    <w:abstractNumId w:val="37"/>
  </w:num>
  <w:num w:numId="2" w16cid:durableId="1530069418">
    <w:abstractNumId w:val="31"/>
  </w:num>
  <w:num w:numId="3" w16cid:durableId="1884445369">
    <w:abstractNumId w:val="42"/>
  </w:num>
  <w:num w:numId="4" w16cid:durableId="488639750">
    <w:abstractNumId w:val="17"/>
  </w:num>
  <w:num w:numId="5" w16cid:durableId="1652711099">
    <w:abstractNumId w:val="4"/>
  </w:num>
  <w:num w:numId="6" w16cid:durableId="465246141">
    <w:abstractNumId w:val="34"/>
  </w:num>
  <w:num w:numId="7" w16cid:durableId="1666324212">
    <w:abstractNumId w:val="14"/>
  </w:num>
  <w:num w:numId="8" w16cid:durableId="2129086832">
    <w:abstractNumId w:val="41"/>
  </w:num>
  <w:num w:numId="9" w16cid:durableId="55595667">
    <w:abstractNumId w:val="0"/>
  </w:num>
  <w:num w:numId="10" w16cid:durableId="1181164623">
    <w:abstractNumId w:val="6"/>
  </w:num>
  <w:num w:numId="11" w16cid:durableId="1407995892">
    <w:abstractNumId w:val="36"/>
  </w:num>
  <w:num w:numId="12" w16cid:durableId="308753122">
    <w:abstractNumId w:val="8"/>
  </w:num>
  <w:num w:numId="13" w16cid:durableId="1098259851">
    <w:abstractNumId w:val="28"/>
  </w:num>
  <w:num w:numId="14" w16cid:durableId="1739665958">
    <w:abstractNumId w:val="19"/>
  </w:num>
  <w:num w:numId="15" w16cid:durableId="701244636">
    <w:abstractNumId w:val="30"/>
  </w:num>
  <w:num w:numId="16" w16cid:durableId="853763636">
    <w:abstractNumId w:val="7"/>
  </w:num>
  <w:num w:numId="17" w16cid:durableId="1358307668">
    <w:abstractNumId w:val="13"/>
  </w:num>
  <w:num w:numId="18" w16cid:durableId="625163674">
    <w:abstractNumId w:val="16"/>
  </w:num>
  <w:num w:numId="19" w16cid:durableId="652030860">
    <w:abstractNumId w:val="33"/>
  </w:num>
  <w:num w:numId="20" w16cid:durableId="1560700722">
    <w:abstractNumId w:val="3"/>
  </w:num>
  <w:num w:numId="21" w16cid:durableId="484200263">
    <w:abstractNumId w:val="32"/>
  </w:num>
  <w:num w:numId="22" w16cid:durableId="826436180">
    <w:abstractNumId w:val="5"/>
  </w:num>
  <w:num w:numId="23" w16cid:durableId="602765744">
    <w:abstractNumId w:val="10"/>
  </w:num>
  <w:num w:numId="24" w16cid:durableId="475881629">
    <w:abstractNumId w:val="2"/>
  </w:num>
  <w:num w:numId="25" w16cid:durableId="1212963509">
    <w:abstractNumId w:val="20"/>
  </w:num>
  <w:num w:numId="26" w16cid:durableId="1727684114">
    <w:abstractNumId w:val="39"/>
  </w:num>
  <w:num w:numId="27" w16cid:durableId="698895189">
    <w:abstractNumId w:val="1"/>
  </w:num>
  <w:num w:numId="28" w16cid:durableId="530920401">
    <w:abstractNumId w:val="38"/>
  </w:num>
  <w:num w:numId="29" w16cid:durableId="733040785">
    <w:abstractNumId w:val="11"/>
  </w:num>
  <w:num w:numId="30" w16cid:durableId="1760056799">
    <w:abstractNumId w:val="29"/>
  </w:num>
  <w:num w:numId="31" w16cid:durableId="582569112">
    <w:abstractNumId w:val="23"/>
  </w:num>
  <w:num w:numId="32" w16cid:durableId="1738429399">
    <w:abstractNumId w:val="15"/>
  </w:num>
  <w:num w:numId="33" w16cid:durableId="834884438">
    <w:abstractNumId w:val="9"/>
  </w:num>
  <w:num w:numId="34" w16cid:durableId="87624120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79641815">
    <w:abstractNumId w:val="24"/>
  </w:num>
  <w:num w:numId="36" w16cid:durableId="1542593375">
    <w:abstractNumId w:val="27"/>
  </w:num>
  <w:num w:numId="37" w16cid:durableId="648096423">
    <w:abstractNumId w:val="35"/>
  </w:num>
  <w:num w:numId="38" w16cid:durableId="412095053">
    <w:abstractNumId w:val="18"/>
  </w:num>
  <w:num w:numId="39" w16cid:durableId="1009334899">
    <w:abstractNumId w:val="12"/>
  </w:num>
  <w:num w:numId="40" w16cid:durableId="259336186">
    <w:abstractNumId w:val="40"/>
  </w:num>
  <w:num w:numId="41" w16cid:durableId="664552292">
    <w:abstractNumId w:val="21"/>
  </w:num>
  <w:num w:numId="42" w16cid:durableId="399593367">
    <w:abstractNumId w:val="26"/>
  </w:num>
  <w:num w:numId="43" w16cid:durableId="680594161">
    <w:abstractNumId w:val="25"/>
  </w:num>
  <w:num w:numId="44" w16cid:durableId="187533825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5C4E"/>
    <w:rsid w:val="00017774"/>
    <w:rsid w:val="00056413"/>
    <w:rsid w:val="00062C83"/>
    <w:rsid w:val="0006305C"/>
    <w:rsid w:val="00074142"/>
    <w:rsid w:val="0007734B"/>
    <w:rsid w:val="000773F4"/>
    <w:rsid w:val="000A1BE6"/>
    <w:rsid w:val="000A56FC"/>
    <w:rsid w:val="000A5D16"/>
    <w:rsid w:val="000D25BF"/>
    <w:rsid w:val="000D4260"/>
    <w:rsid w:val="000E3B5A"/>
    <w:rsid w:val="001051EE"/>
    <w:rsid w:val="00106143"/>
    <w:rsid w:val="001162A4"/>
    <w:rsid w:val="00122E5A"/>
    <w:rsid w:val="00130F07"/>
    <w:rsid w:val="001571DB"/>
    <w:rsid w:val="00160BB3"/>
    <w:rsid w:val="001615CD"/>
    <w:rsid w:val="00163EE5"/>
    <w:rsid w:val="00175D42"/>
    <w:rsid w:val="001820F1"/>
    <w:rsid w:val="00183E57"/>
    <w:rsid w:val="001A5C79"/>
    <w:rsid w:val="001B7F24"/>
    <w:rsid w:val="001C1CAA"/>
    <w:rsid w:val="001C4E63"/>
    <w:rsid w:val="001E3883"/>
    <w:rsid w:val="002403F4"/>
    <w:rsid w:val="00245EA1"/>
    <w:rsid w:val="00253528"/>
    <w:rsid w:val="002635D1"/>
    <w:rsid w:val="002744D7"/>
    <w:rsid w:val="00281070"/>
    <w:rsid w:val="002874C2"/>
    <w:rsid w:val="00293BED"/>
    <w:rsid w:val="0029412F"/>
    <w:rsid w:val="002B1099"/>
    <w:rsid w:val="002B4D51"/>
    <w:rsid w:val="002C33E6"/>
    <w:rsid w:val="002D1598"/>
    <w:rsid w:val="002D22C4"/>
    <w:rsid w:val="002E0D3F"/>
    <w:rsid w:val="002E417E"/>
    <w:rsid w:val="002E4C0E"/>
    <w:rsid w:val="00304682"/>
    <w:rsid w:val="00307245"/>
    <w:rsid w:val="003128B3"/>
    <w:rsid w:val="00334509"/>
    <w:rsid w:val="003403F3"/>
    <w:rsid w:val="00351974"/>
    <w:rsid w:val="00356341"/>
    <w:rsid w:val="0035740A"/>
    <w:rsid w:val="0037776B"/>
    <w:rsid w:val="00383BEA"/>
    <w:rsid w:val="003A57E9"/>
    <w:rsid w:val="003B10E1"/>
    <w:rsid w:val="003B38FF"/>
    <w:rsid w:val="003B482F"/>
    <w:rsid w:val="003B5490"/>
    <w:rsid w:val="003B6BD5"/>
    <w:rsid w:val="003C07F9"/>
    <w:rsid w:val="003C4D82"/>
    <w:rsid w:val="003C65D7"/>
    <w:rsid w:val="003E3654"/>
    <w:rsid w:val="003E6B7E"/>
    <w:rsid w:val="003E7DF7"/>
    <w:rsid w:val="00405665"/>
    <w:rsid w:val="00413028"/>
    <w:rsid w:val="004148C3"/>
    <w:rsid w:val="00420043"/>
    <w:rsid w:val="00431FA5"/>
    <w:rsid w:val="00432922"/>
    <w:rsid w:val="00440618"/>
    <w:rsid w:val="00447A13"/>
    <w:rsid w:val="00470EA0"/>
    <w:rsid w:val="00475741"/>
    <w:rsid w:val="00477C74"/>
    <w:rsid w:val="00483529"/>
    <w:rsid w:val="00484DA1"/>
    <w:rsid w:val="004C5105"/>
    <w:rsid w:val="004D0C20"/>
    <w:rsid w:val="004D11EE"/>
    <w:rsid w:val="004E0268"/>
    <w:rsid w:val="004F2997"/>
    <w:rsid w:val="004F7707"/>
    <w:rsid w:val="004F7DC6"/>
    <w:rsid w:val="005030D3"/>
    <w:rsid w:val="00531799"/>
    <w:rsid w:val="005354C9"/>
    <w:rsid w:val="00535F1D"/>
    <w:rsid w:val="00537C4E"/>
    <w:rsid w:val="005515D3"/>
    <w:rsid w:val="0057194E"/>
    <w:rsid w:val="005D4972"/>
    <w:rsid w:val="005D5DBD"/>
    <w:rsid w:val="005E4165"/>
    <w:rsid w:val="005E50E0"/>
    <w:rsid w:val="005F7954"/>
    <w:rsid w:val="00606A56"/>
    <w:rsid w:val="006072E8"/>
    <w:rsid w:val="00607423"/>
    <w:rsid w:val="006126F5"/>
    <w:rsid w:val="00612A40"/>
    <w:rsid w:val="006216C9"/>
    <w:rsid w:val="0062196F"/>
    <w:rsid w:val="00622528"/>
    <w:rsid w:val="0062477E"/>
    <w:rsid w:val="00625DC3"/>
    <w:rsid w:val="0064335B"/>
    <w:rsid w:val="00650F66"/>
    <w:rsid w:val="00654046"/>
    <w:rsid w:val="00664FE2"/>
    <w:rsid w:val="00666CEB"/>
    <w:rsid w:val="00680CBB"/>
    <w:rsid w:val="006860DF"/>
    <w:rsid w:val="0068734B"/>
    <w:rsid w:val="00690BE7"/>
    <w:rsid w:val="006A4F72"/>
    <w:rsid w:val="006C1C74"/>
    <w:rsid w:val="006C27C1"/>
    <w:rsid w:val="006F016B"/>
    <w:rsid w:val="0072125D"/>
    <w:rsid w:val="0072247C"/>
    <w:rsid w:val="00726607"/>
    <w:rsid w:val="00731FFA"/>
    <w:rsid w:val="00737519"/>
    <w:rsid w:val="00760C49"/>
    <w:rsid w:val="007738DC"/>
    <w:rsid w:val="00773907"/>
    <w:rsid w:val="007764E3"/>
    <w:rsid w:val="007769B1"/>
    <w:rsid w:val="00781669"/>
    <w:rsid w:val="007915D4"/>
    <w:rsid w:val="007A3EDF"/>
    <w:rsid w:val="007B08B1"/>
    <w:rsid w:val="007B118B"/>
    <w:rsid w:val="007C0DC9"/>
    <w:rsid w:val="007C2346"/>
    <w:rsid w:val="007D3634"/>
    <w:rsid w:val="007D5680"/>
    <w:rsid w:val="007D581D"/>
    <w:rsid w:val="007D7A61"/>
    <w:rsid w:val="007F0B79"/>
    <w:rsid w:val="007F2116"/>
    <w:rsid w:val="00827D6E"/>
    <w:rsid w:val="008309A4"/>
    <w:rsid w:val="00844E66"/>
    <w:rsid w:val="00856560"/>
    <w:rsid w:val="00880F6C"/>
    <w:rsid w:val="00890769"/>
    <w:rsid w:val="00895667"/>
    <w:rsid w:val="00896063"/>
    <w:rsid w:val="008A0C18"/>
    <w:rsid w:val="008B25DA"/>
    <w:rsid w:val="008B6CFD"/>
    <w:rsid w:val="008C169E"/>
    <w:rsid w:val="008C1C3B"/>
    <w:rsid w:val="008D1AC0"/>
    <w:rsid w:val="008E2357"/>
    <w:rsid w:val="008F503B"/>
    <w:rsid w:val="00922523"/>
    <w:rsid w:val="00933CB5"/>
    <w:rsid w:val="0094617E"/>
    <w:rsid w:val="009565EF"/>
    <w:rsid w:val="009737F2"/>
    <w:rsid w:val="00990BE2"/>
    <w:rsid w:val="009929C4"/>
    <w:rsid w:val="009A0D88"/>
    <w:rsid w:val="009A0FB2"/>
    <w:rsid w:val="009C15BC"/>
    <w:rsid w:val="009D18C3"/>
    <w:rsid w:val="009D49AE"/>
    <w:rsid w:val="009F6717"/>
    <w:rsid w:val="00A058B1"/>
    <w:rsid w:val="00A11992"/>
    <w:rsid w:val="00A14A9F"/>
    <w:rsid w:val="00A47B1D"/>
    <w:rsid w:val="00A70ABB"/>
    <w:rsid w:val="00AA4FCC"/>
    <w:rsid w:val="00AB39B7"/>
    <w:rsid w:val="00AB6820"/>
    <w:rsid w:val="00AC2A83"/>
    <w:rsid w:val="00AC2DE1"/>
    <w:rsid w:val="00AD0590"/>
    <w:rsid w:val="00AD10A8"/>
    <w:rsid w:val="00AD5074"/>
    <w:rsid w:val="00B06009"/>
    <w:rsid w:val="00B10AD3"/>
    <w:rsid w:val="00B16F98"/>
    <w:rsid w:val="00B24832"/>
    <w:rsid w:val="00B265C9"/>
    <w:rsid w:val="00B35366"/>
    <w:rsid w:val="00B5076E"/>
    <w:rsid w:val="00B54C6C"/>
    <w:rsid w:val="00B74501"/>
    <w:rsid w:val="00B74868"/>
    <w:rsid w:val="00B9288F"/>
    <w:rsid w:val="00B96A4B"/>
    <w:rsid w:val="00BA5C53"/>
    <w:rsid w:val="00BB1BB6"/>
    <w:rsid w:val="00BB3B92"/>
    <w:rsid w:val="00BD3BE3"/>
    <w:rsid w:val="00BD5546"/>
    <w:rsid w:val="00BE0501"/>
    <w:rsid w:val="00BE0E97"/>
    <w:rsid w:val="00BF08BD"/>
    <w:rsid w:val="00C03545"/>
    <w:rsid w:val="00C1023C"/>
    <w:rsid w:val="00C20987"/>
    <w:rsid w:val="00C471AB"/>
    <w:rsid w:val="00C5501D"/>
    <w:rsid w:val="00C55677"/>
    <w:rsid w:val="00C5614D"/>
    <w:rsid w:val="00C568B6"/>
    <w:rsid w:val="00C6058B"/>
    <w:rsid w:val="00C6506C"/>
    <w:rsid w:val="00C72129"/>
    <w:rsid w:val="00CA437A"/>
    <w:rsid w:val="00CB2FAC"/>
    <w:rsid w:val="00CD04F8"/>
    <w:rsid w:val="00CD1025"/>
    <w:rsid w:val="00CD5CB8"/>
    <w:rsid w:val="00CD7181"/>
    <w:rsid w:val="00CE7E7C"/>
    <w:rsid w:val="00CF3213"/>
    <w:rsid w:val="00D037D3"/>
    <w:rsid w:val="00D0716C"/>
    <w:rsid w:val="00D139EF"/>
    <w:rsid w:val="00D347EF"/>
    <w:rsid w:val="00D41CB7"/>
    <w:rsid w:val="00D52298"/>
    <w:rsid w:val="00D73A0A"/>
    <w:rsid w:val="00D774DD"/>
    <w:rsid w:val="00D8770D"/>
    <w:rsid w:val="00DA0136"/>
    <w:rsid w:val="00DB6C23"/>
    <w:rsid w:val="00DE1653"/>
    <w:rsid w:val="00DF6B56"/>
    <w:rsid w:val="00E0223F"/>
    <w:rsid w:val="00E06D13"/>
    <w:rsid w:val="00E32FCD"/>
    <w:rsid w:val="00E413D7"/>
    <w:rsid w:val="00E4408D"/>
    <w:rsid w:val="00E4747F"/>
    <w:rsid w:val="00E60CC6"/>
    <w:rsid w:val="00E722C5"/>
    <w:rsid w:val="00E72351"/>
    <w:rsid w:val="00E84C14"/>
    <w:rsid w:val="00E901D8"/>
    <w:rsid w:val="00E93F01"/>
    <w:rsid w:val="00EA4B83"/>
    <w:rsid w:val="00EB5E4B"/>
    <w:rsid w:val="00EC4F4D"/>
    <w:rsid w:val="00ED7E69"/>
    <w:rsid w:val="00ED7E8E"/>
    <w:rsid w:val="00EF1CFD"/>
    <w:rsid w:val="00F06356"/>
    <w:rsid w:val="00F20EA0"/>
    <w:rsid w:val="00F3187A"/>
    <w:rsid w:val="00F3664E"/>
    <w:rsid w:val="00F57159"/>
    <w:rsid w:val="00F749E4"/>
    <w:rsid w:val="00F76DD1"/>
    <w:rsid w:val="00F831F1"/>
    <w:rsid w:val="00F8507B"/>
    <w:rsid w:val="00F87EA0"/>
    <w:rsid w:val="00F920C3"/>
    <w:rsid w:val="00FC75F5"/>
    <w:rsid w:val="00FD765F"/>
    <w:rsid w:val="00FD7FCE"/>
    <w:rsid w:val="00FE04B6"/>
    <w:rsid w:val="00FE2B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Char,תו Char,תו Char Char,תו,טקסט הערות שוליים תו1,טקסט הערות שוליים תו תו1 תו,טקסט הערות שוליים תו1 תו תו תו,טקסט הערות שוליים תו תו תו תו תו,טקסט הערות שוליים תו תו,טקסט הערות שוליים תו1 תו תו1,טקסט הערות שוליים תו תו תו תו1"/>
    <w:basedOn w:val="a"/>
    <w:link w:val="a4"/>
    <w:uiPriority w:val="99"/>
    <w:qFormat/>
    <w:rsid w:val="00690BE7"/>
    <w:pPr>
      <w:spacing w:line="240" w:lineRule="auto"/>
      <w:ind w:left="284" w:hanging="284"/>
    </w:pPr>
    <w:rPr>
      <w:rFonts w:ascii="Narkisim" w:eastAsia="Narkisim" w:hAnsi="Narkisim"/>
      <w:position w:val="6"/>
      <w:sz w:val="18"/>
      <w:szCs w:val="18"/>
    </w:rPr>
  </w:style>
  <w:style w:type="character" w:customStyle="1" w:styleId="a4">
    <w:name w:val="טקסט הערת שוליים תו"/>
    <w:aliases w:val="Char תו,תו Char תו,תו Char Char תו,תו תו,טקסט הערות שוליים תו1 תו,טקסט הערות שוליים תו תו1 תו תו,טקסט הערות שוליים תו1 תו תו תו תו,טקסט הערות שוליים תו תו תו תו תו תו,טקסט הערות שוליים תו תו תו,טקסט הערות שוליים תו1 תו תו1 תו"/>
    <w:link w:val="a3"/>
    <w:uiPriority w:val="99"/>
    <w:rsid w:val="00690BE7"/>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uiPriority w:val="99"/>
    <w:qFormat/>
    <w:rsid w:val="006F016B"/>
    <w:pPr>
      <w:ind w:left="567"/>
    </w:pPr>
  </w:style>
  <w:style w:type="character" w:customStyle="1" w:styleId="aa">
    <w:name w:val="ציטוט תו"/>
    <w:link w:val="a9"/>
    <w:uiPriority w:val="9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character" w:styleId="afc">
    <w:name w:val="Unresolved Mention"/>
    <w:basedOn w:val="a0"/>
    <w:uiPriority w:val="99"/>
    <w:semiHidden/>
    <w:unhideWhenUsed/>
    <w:rsid w:val="00690BE7"/>
    <w:rPr>
      <w:color w:val="605E5C"/>
      <w:shd w:val="clear" w:color="auto" w:fill="E1DFDD"/>
    </w:rPr>
  </w:style>
  <w:style w:type="paragraph" w:styleId="afd">
    <w:name w:val="No Spacing"/>
    <w:uiPriority w:val="1"/>
    <w:qFormat/>
    <w:rsid w:val="00EA4B83"/>
    <w:pPr>
      <w:tabs>
        <w:tab w:val="right" w:pos="4620"/>
      </w:tabs>
      <w:bidi/>
      <w:jc w:val="both"/>
    </w:pPr>
    <w:rPr>
      <w:rFonts w:ascii="Arial" w:hAnsi="Arial" w:cs="Narkisim"/>
      <w:sz w:val="24"/>
      <w:szCs w:val="24"/>
    </w:rPr>
  </w:style>
  <w:style w:type="table" w:styleId="afe">
    <w:name w:val="Table Grid"/>
    <w:basedOn w:val="a1"/>
    <w:uiPriority w:val="59"/>
    <w:rsid w:val="00606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tzion.org.il/he/node/45458" TargetMode="External"/><Relationship Id="rId2" Type="http://schemas.openxmlformats.org/officeDocument/2006/relationships/hyperlink" Target="https://etzion.org.il/he/talmud/studies-gemara/midrash-and-aggada/moshe-high-part-ii" TargetMode="External"/><Relationship Id="rId1" Type="http://schemas.openxmlformats.org/officeDocument/2006/relationships/hyperlink" Target="https://etzion.org.il/he/talmud/studies-gemara/midrash-and-aggada/moshe-high-part-i"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2415</Words>
  <Characters>9782</Characters>
  <Application>Microsoft Office Word</Application>
  <DocSecurity>0</DocSecurity>
  <Lines>141</Lines>
  <Paragraphs>174</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12023</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2</cp:revision>
  <cp:lastPrinted>2001-10-24T10:13:00Z</cp:lastPrinted>
  <dcterms:created xsi:type="dcterms:W3CDTF">2023-03-01T23:56:00Z</dcterms:created>
  <dcterms:modified xsi:type="dcterms:W3CDTF">2023-03-01T23:56:00Z</dcterms:modified>
</cp:coreProperties>
</file>