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379B3F25" w:rsidR="00FD72B3" w:rsidRPr="006A35AA" w:rsidRDefault="006904BB" w:rsidP="00B62B61">
      <w:pPr>
        <w:pStyle w:val="aa"/>
        <w:spacing w:before="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שיעור</w:t>
      </w:r>
      <w:r w:rsidR="009B4A3E">
        <w:rPr>
          <w:rFonts w:cs="Narkisim" w:hint="cs"/>
          <w:sz w:val="42"/>
          <w:szCs w:val="46"/>
          <w:rtl/>
        </w:rPr>
        <w:t xml:space="preserve"> </w:t>
      </w:r>
      <w:r w:rsidR="00F90C07">
        <w:rPr>
          <w:rFonts w:cs="Narkisim" w:hint="cs"/>
          <w:sz w:val="42"/>
          <w:szCs w:val="46"/>
          <w:rtl/>
        </w:rPr>
        <w:t>8</w:t>
      </w:r>
      <w:r w:rsidR="00B42880">
        <w:rPr>
          <w:rFonts w:cs="Narkisim" w:hint="cs"/>
          <w:sz w:val="42"/>
          <w:szCs w:val="46"/>
          <w:rtl/>
        </w:rPr>
        <w:t>:</w:t>
      </w:r>
      <w:r w:rsidR="00F372A2">
        <w:rPr>
          <w:rFonts w:cs="Narkisim" w:hint="cs"/>
          <w:sz w:val="42"/>
          <w:szCs w:val="46"/>
          <w:rtl/>
        </w:rPr>
        <w:t xml:space="preserve"> </w:t>
      </w:r>
      <w:r w:rsidR="00F90C07" w:rsidRPr="00F90C07">
        <w:rPr>
          <w:rFonts w:cs="Narkisim"/>
          <w:sz w:val="42"/>
          <w:szCs w:val="46"/>
          <w:rtl/>
        </w:rPr>
        <w:t>1347</w:t>
      </w:r>
      <w:r w:rsidR="00F90C07">
        <w:rPr>
          <w:rFonts w:cs="Narkisim"/>
          <w:sz w:val="42"/>
          <w:szCs w:val="46"/>
          <w:rtl/>
        </w:rPr>
        <w:t>–</w:t>
      </w:r>
      <w:r w:rsidR="00F90C07" w:rsidRPr="00F90C07">
        <w:rPr>
          <w:rFonts w:cs="Narkisim"/>
          <w:sz w:val="42"/>
          <w:szCs w:val="46"/>
          <w:rtl/>
        </w:rPr>
        <w:t>1351 (ה'ק"ז–ה'קי"א)</w:t>
      </w:r>
      <w:r w:rsidR="00F90C07">
        <w:rPr>
          <w:rFonts w:cs="Narkisim" w:hint="cs"/>
          <w:sz w:val="42"/>
          <w:szCs w:val="46"/>
          <w:rtl/>
        </w:rPr>
        <w:t xml:space="preserve"> </w:t>
      </w:r>
      <w:r w:rsidR="00C8151B">
        <w:rPr>
          <w:rFonts w:cs="Narkisim"/>
          <w:sz w:val="42"/>
          <w:szCs w:val="46"/>
          <w:rtl/>
        </w:rPr>
        <w:t>–</w:t>
      </w:r>
      <w:r w:rsidR="00C8151B">
        <w:rPr>
          <w:rFonts w:cs="Narkisim" w:hint="cs"/>
          <w:sz w:val="42"/>
          <w:szCs w:val="46"/>
          <w:rtl/>
        </w:rPr>
        <w:t xml:space="preserve"> </w:t>
      </w:r>
      <w:r w:rsidR="00F90C07">
        <w:rPr>
          <w:rFonts w:cs="Narkisim" w:hint="cs"/>
          <w:sz w:val="42"/>
          <w:szCs w:val="46"/>
          <w:rtl/>
        </w:rPr>
        <w:t>המוות השחור</w:t>
      </w:r>
    </w:p>
    <w:p w14:paraId="187B1E3D" w14:textId="02C622F5" w:rsidR="00F90C07" w:rsidRPr="00F90C07" w:rsidRDefault="00451862" w:rsidP="00F90C07">
      <w:pPr>
        <w:rPr>
          <w:b/>
          <w:bCs/>
          <w:u w:val="single"/>
          <w:rtl/>
        </w:rPr>
      </w:pPr>
      <w:r w:rsidRPr="00451862">
        <w:rPr>
          <w:rFonts w:hint="cs"/>
          <w:b/>
          <w:bCs/>
          <w:u w:val="single"/>
          <w:rtl/>
        </w:rPr>
        <w:t>מבוא</w:t>
      </w:r>
    </w:p>
    <w:p w14:paraId="4643D84F" w14:textId="55D17AE3" w:rsidR="00F90C07" w:rsidRDefault="00F90C07" w:rsidP="00F90C07">
      <w:pPr>
        <w:rPr>
          <w:rtl/>
        </w:rPr>
      </w:pPr>
      <w:r>
        <w:rPr>
          <w:rtl/>
        </w:rPr>
        <w:t>באמצע המאה ה</w:t>
      </w:r>
      <w:r w:rsidR="00C87446">
        <w:rPr>
          <w:rFonts w:hint="cs"/>
          <w:rtl/>
        </w:rPr>
        <w:t>ארבע עשרה,</w:t>
      </w:r>
      <w:r>
        <w:rPr>
          <w:rtl/>
        </w:rPr>
        <w:t xml:space="preserve"> </w:t>
      </w:r>
      <w:r w:rsidR="00987337">
        <w:rPr>
          <w:rFonts w:hint="cs"/>
          <w:rtl/>
        </w:rPr>
        <w:t>מתו עשרות (ו</w:t>
      </w:r>
      <w:r w:rsidR="00966746">
        <w:rPr>
          <w:rFonts w:hint="cs"/>
          <w:rtl/>
        </w:rPr>
        <w:t>ייתכן ש</w:t>
      </w:r>
      <w:r w:rsidR="00987337">
        <w:rPr>
          <w:rFonts w:hint="cs"/>
          <w:rtl/>
        </w:rPr>
        <w:t>מאות)</w:t>
      </w:r>
      <w:r>
        <w:rPr>
          <w:rFonts w:hint="cs"/>
          <w:rtl/>
        </w:rPr>
        <w:t xml:space="preserve"> </w:t>
      </w:r>
      <w:r>
        <w:rPr>
          <w:rtl/>
        </w:rPr>
        <w:t>מיליו</w:t>
      </w:r>
      <w:r w:rsidR="00987337">
        <w:rPr>
          <w:rFonts w:hint="cs"/>
          <w:rtl/>
        </w:rPr>
        <w:t>נים</w:t>
      </w:r>
      <w:r>
        <w:rPr>
          <w:rtl/>
        </w:rPr>
        <w:t xml:space="preserve"> ברחבי העולם </w:t>
      </w:r>
      <w:r w:rsidR="00987337">
        <w:rPr>
          <w:rFonts w:hint="cs"/>
          <w:rtl/>
        </w:rPr>
        <w:t>בשל המגפה</w:t>
      </w:r>
      <w:r>
        <w:rPr>
          <w:rFonts w:hint="cs"/>
          <w:rtl/>
        </w:rPr>
        <w:t xml:space="preserve"> השחורה</w:t>
      </w:r>
      <w:r w:rsidR="00C87446">
        <w:rPr>
          <w:rFonts w:hint="cs"/>
          <w:rtl/>
        </w:rPr>
        <w:t>.</w:t>
      </w:r>
      <w:r>
        <w:rPr>
          <w:rtl/>
        </w:rPr>
        <w:t xml:space="preserve"> </w:t>
      </w:r>
      <w:r w:rsidR="00C87446">
        <w:rPr>
          <w:rFonts w:hint="cs"/>
          <w:rtl/>
        </w:rPr>
        <w:t xml:space="preserve">המגפה </w:t>
      </w:r>
      <w:r>
        <w:rPr>
          <w:rtl/>
        </w:rPr>
        <w:t xml:space="preserve">פגעה </w:t>
      </w:r>
      <w:r>
        <w:rPr>
          <w:rFonts w:hint="cs"/>
          <w:rtl/>
        </w:rPr>
        <w:t xml:space="preserve">במיוחד </w:t>
      </w:r>
      <w:r>
        <w:rPr>
          <w:rtl/>
        </w:rPr>
        <w:t>באירופה מ</w:t>
      </w:r>
      <w:r w:rsidR="00C87446">
        <w:rPr>
          <w:rFonts w:hint="cs"/>
          <w:rtl/>
        </w:rPr>
        <w:t xml:space="preserve">שנת </w:t>
      </w:r>
      <w:r>
        <w:rPr>
          <w:rtl/>
        </w:rPr>
        <w:t xml:space="preserve">1347 </w:t>
      </w:r>
      <w:r w:rsidR="00C87446">
        <w:rPr>
          <w:rFonts w:hint="cs"/>
          <w:rtl/>
        </w:rPr>
        <w:t>ו</w:t>
      </w:r>
      <w:r>
        <w:rPr>
          <w:rtl/>
        </w:rPr>
        <w:t xml:space="preserve">עד 1351. </w:t>
      </w:r>
      <w:r w:rsidR="00C87446">
        <w:rPr>
          <w:rFonts w:hint="cs"/>
          <w:rtl/>
        </w:rPr>
        <w:t>ה</w:t>
      </w:r>
      <w:r>
        <w:rPr>
          <w:rtl/>
        </w:rPr>
        <w:t xml:space="preserve">מספרים </w:t>
      </w:r>
      <w:r w:rsidR="00C87446">
        <w:rPr>
          <w:rFonts w:hint="cs"/>
          <w:rtl/>
        </w:rPr>
        <w:t>ה</w:t>
      </w:r>
      <w:r>
        <w:rPr>
          <w:rtl/>
        </w:rPr>
        <w:t xml:space="preserve">מדויקים אינם ידועים, </w:t>
      </w:r>
      <w:r>
        <w:rPr>
          <w:rFonts w:hint="cs"/>
          <w:rtl/>
        </w:rPr>
        <w:t xml:space="preserve">אולם </w:t>
      </w:r>
      <w:r w:rsidR="00052C42">
        <w:rPr>
          <w:rFonts w:hint="cs"/>
          <w:rtl/>
        </w:rPr>
        <w:t>אין ספק</w:t>
      </w:r>
      <w:r>
        <w:rPr>
          <w:rtl/>
        </w:rPr>
        <w:t xml:space="preserve"> ש</w:t>
      </w:r>
      <w:r w:rsidR="00052C42">
        <w:rPr>
          <w:rFonts w:hint="cs"/>
          <w:rtl/>
        </w:rPr>
        <w:t xml:space="preserve">הייתה זו </w:t>
      </w:r>
      <w:r>
        <w:rPr>
          <w:rtl/>
        </w:rPr>
        <w:t xml:space="preserve">מגפה </w:t>
      </w:r>
      <w:r w:rsidR="00052C42">
        <w:rPr>
          <w:rFonts w:hint="cs"/>
          <w:rtl/>
        </w:rPr>
        <w:t xml:space="preserve">בעלת </w:t>
      </w:r>
      <w:r>
        <w:rPr>
          <w:rFonts w:hint="cs"/>
          <w:rtl/>
        </w:rPr>
        <w:t xml:space="preserve">סדר גודל </w:t>
      </w:r>
      <w:r>
        <w:rPr>
          <w:rtl/>
        </w:rPr>
        <w:t xml:space="preserve">קטסטרופלי. </w:t>
      </w:r>
      <w:r>
        <w:rPr>
          <w:rFonts w:hint="cs"/>
          <w:rtl/>
        </w:rPr>
        <w:t xml:space="preserve">יש המעריכים כי </w:t>
      </w:r>
      <w:r>
        <w:rPr>
          <w:rtl/>
        </w:rPr>
        <w:t>באירופה לבדה</w:t>
      </w:r>
      <w:r w:rsidR="00C87446">
        <w:rPr>
          <w:rFonts w:hint="cs"/>
          <w:rtl/>
        </w:rPr>
        <w:t xml:space="preserve"> נספו</w:t>
      </w:r>
      <w:r>
        <w:rPr>
          <w:rtl/>
        </w:rPr>
        <w:t xml:space="preserve"> למעלה משישים אחוז</w:t>
      </w:r>
      <w:r w:rsidR="00C87446">
        <w:rPr>
          <w:rFonts w:hint="cs"/>
          <w:rtl/>
        </w:rPr>
        <w:t>ים</w:t>
      </w:r>
      <w:r>
        <w:rPr>
          <w:rtl/>
        </w:rPr>
        <w:t xml:space="preserve"> מהאוכלוסייה.</w:t>
      </w:r>
    </w:p>
    <w:p w14:paraId="291FCFF8" w14:textId="7357B723" w:rsidR="00F90C07" w:rsidRDefault="00F90C07" w:rsidP="00C87446">
      <w:pPr>
        <w:rPr>
          <w:rtl/>
        </w:rPr>
      </w:pPr>
      <w:r>
        <w:rPr>
          <w:rtl/>
        </w:rPr>
        <w:t xml:space="preserve">המגפה </w:t>
      </w:r>
      <w:r w:rsidR="00052C42">
        <w:rPr>
          <w:rFonts w:hint="cs"/>
          <w:rtl/>
        </w:rPr>
        <w:t>החלה</w:t>
      </w:r>
      <w:r>
        <w:rPr>
          <w:rFonts w:hint="cs"/>
          <w:rtl/>
        </w:rPr>
        <w:t xml:space="preserve"> </w:t>
      </w:r>
      <w:r>
        <w:rPr>
          <w:rtl/>
        </w:rPr>
        <w:t xml:space="preserve">באסיה, אך היא התפשטה במהירות </w:t>
      </w:r>
      <w:r w:rsidR="00C87446">
        <w:rPr>
          <w:rFonts w:hint="cs"/>
          <w:rtl/>
        </w:rPr>
        <w:t xml:space="preserve">דרך איטליה </w:t>
      </w:r>
      <w:r>
        <w:rPr>
          <w:rtl/>
        </w:rPr>
        <w:t>לאירופה.</w:t>
      </w:r>
      <w:r w:rsidR="00C87446">
        <w:rPr>
          <w:rFonts w:hint="cs"/>
          <w:rtl/>
        </w:rPr>
        <w:t xml:space="preserve"> </w:t>
      </w:r>
      <w:r w:rsidR="00987337">
        <w:rPr>
          <w:rFonts w:hint="cs"/>
          <w:rtl/>
        </w:rPr>
        <w:t>ה</w:t>
      </w:r>
      <w:r>
        <w:rPr>
          <w:rtl/>
        </w:rPr>
        <w:t>מחלה</w:t>
      </w:r>
      <w:r w:rsidR="00C87446">
        <w:rPr>
          <w:rFonts w:hint="cs"/>
          <w:rtl/>
        </w:rPr>
        <w:t xml:space="preserve"> </w:t>
      </w:r>
      <w:r>
        <w:rPr>
          <w:rtl/>
        </w:rPr>
        <w:t xml:space="preserve">נגרמה על ידי החיידק הקטלני </w:t>
      </w:r>
      <w:r w:rsidRPr="00052C42">
        <w:rPr>
          <w:i/>
          <w:iCs/>
        </w:rPr>
        <w:t>Yersinia pestis</w:t>
      </w:r>
      <w:r>
        <w:rPr>
          <w:rtl/>
        </w:rPr>
        <w:t xml:space="preserve">, </w:t>
      </w:r>
      <w:r w:rsidR="00987337">
        <w:rPr>
          <w:rFonts w:hint="cs"/>
          <w:rtl/>
        </w:rPr>
        <w:t>ו</w:t>
      </w:r>
      <w:r>
        <w:rPr>
          <w:rFonts w:hint="cs"/>
          <w:rtl/>
        </w:rPr>
        <w:t>הופצה</w:t>
      </w:r>
      <w:r>
        <w:rPr>
          <w:rtl/>
        </w:rPr>
        <w:t xml:space="preserve"> ככל הנראה על ידי מכרסמים.</w:t>
      </w:r>
    </w:p>
    <w:p w14:paraId="250F3427" w14:textId="61484321" w:rsidR="00F90C07" w:rsidRDefault="00F90C07" w:rsidP="00C87446">
      <w:pPr>
        <w:rPr>
          <w:rtl/>
        </w:rPr>
      </w:pPr>
      <w:r>
        <w:rPr>
          <w:rtl/>
        </w:rPr>
        <w:t xml:space="preserve">מספר </w:t>
      </w:r>
      <w:r w:rsidR="00C87446">
        <w:rPr>
          <w:rFonts w:hint="cs"/>
          <w:rtl/>
        </w:rPr>
        <w:t xml:space="preserve">ההרוגים </w:t>
      </w:r>
      <w:r>
        <w:rPr>
          <w:rtl/>
        </w:rPr>
        <w:t>ה</w:t>
      </w:r>
      <w:r w:rsidR="00C87446">
        <w:rPr>
          <w:rFonts w:hint="cs"/>
          <w:rtl/>
        </w:rPr>
        <w:t>עצום</w:t>
      </w:r>
      <w:r>
        <w:rPr>
          <w:rtl/>
        </w:rPr>
        <w:t xml:space="preserve"> בשנים אלו </w:t>
      </w:r>
      <w:r>
        <w:rPr>
          <w:rFonts w:hint="cs"/>
          <w:rtl/>
        </w:rPr>
        <w:t xml:space="preserve">שינה את </w:t>
      </w:r>
      <w:r>
        <w:rPr>
          <w:rtl/>
        </w:rPr>
        <w:t>מהלך ההיסטוריה.</w:t>
      </w:r>
      <w:r>
        <w:rPr>
          <w:rFonts w:hint="cs"/>
          <w:rtl/>
        </w:rPr>
        <w:t xml:space="preserve"> </w:t>
      </w:r>
      <w:r>
        <w:rPr>
          <w:rtl/>
        </w:rPr>
        <w:t>ההשלכות הורגשו בתחומי הדת</w:t>
      </w:r>
      <w:r w:rsidR="00C87446">
        <w:rPr>
          <w:rFonts w:hint="cs"/>
          <w:rtl/>
        </w:rPr>
        <w:t xml:space="preserve">, </w:t>
      </w:r>
      <w:r>
        <w:rPr>
          <w:rFonts w:hint="cs"/>
          <w:rtl/>
        </w:rPr>
        <w:t>החברה</w:t>
      </w:r>
      <w:r w:rsidR="00C87446">
        <w:rPr>
          <w:rFonts w:hint="cs"/>
          <w:rtl/>
        </w:rPr>
        <w:t xml:space="preserve"> והכלכלה</w:t>
      </w:r>
      <w:r>
        <w:rPr>
          <w:rtl/>
        </w:rPr>
        <w:t>.</w:t>
      </w:r>
      <w:r w:rsidR="00C87446">
        <w:rPr>
          <w:rFonts w:hint="cs"/>
          <w:rtl/>
        </w:rPr>
        <w:t xml:space="preserve"> </w:t>
      </w:r>
      <w:r>
        <w:rPr>
          <w:rtl/>
        </w:rPr>
        <w:t>ב</w:t>
      </w:r>
      <w:r w:rsidR="00966746">
        <w:rPr>
          <w:rFonts w:hint="cs"/>
          <w:rtl/>
        </w:rPr>
        <w:t>קרב ה</w:t>
      </w:r>
      <w:r>
        <w:rPr>
          <w:rtl/>
        </w:rPr>
        <w:t>קהילה היהודית ההש</w:t>
      </w:r>
      <w:r w:rsidR="00C87446">
        <w:rPr>
          <w:rFonts w:hint="cs"/>
          <w:rtl/>
        </w:rPr>
        <w:t>פע</w:t>
      </w:r>
      <w:r>
        <w:rPr>
          <w:rtl/>
        </w:rPr>
        <w:t>ות היו קשות</w:t>
      </w:r>
      <w:r w:rsidR="00C87446">
        <w:rPr>
          <w:rFonts w:hint="cs"/>
          <w:rtl/>
        </w:rPr>
        <w:t xml:space="preserve"> ביותר</w:t>
      </w:r>
      <w:r>
        <w:rPr>
          <w:rtl/>
        </w:rPr>
        <w:t>.</w:t>
      </w:r>
      <w:r>
        <w:rPr>
          <w:rFonts w:hint="cs"/>
          <w:rtl/>
        </w:rPr>
        <w:t xml:space="preserve"> ישנה </w:t>
      </w:r>
      <w:r>
        <w:rPr>
          <w:rtl/>
        </w:rPr>
        <w:t xml:space="preserve">תיאוריה מקובלת </w:t>
      </w:r>
      <w:r w:rsidR="00C87446">
        <w:rPr>
          <w:rFonts w:hint="cs"/>
          <w:rtl/>
        </w:rPr>
        <w:t>לפיה</w:t>
      </w:r>
      <w:r w:rsidR="00052C42">
        <w:rPr>
          <w:rFonts w:hint="cs"/>
          <w:rtl/>
        </w:rPr>
        <w:t xml:space="preserve"> </w:t>
      </w:r>
      <w:r>
        <w:rPr>
          <w:rtl/>
        </w:rPr>
        <w:t xml:space="preserve">יהודים </w:t>
      </w:r>
      <w:r w:rsidR="00052C42">
        <w:rPr>
          <w:rFonts w:hint="cs"/>
          <w:rtl/>
        </w:rPr>
        <w:t xml:space="preserve">נפגעו פחות </w:t>
      </w:r>
      <w:r>
        <w:rPr>
          <w:rtl/>
        </w:rPr>
        <w:t>מ</w:t>
      </w:r>
      <w:r w:rsidR="00052C42">
        <w:rPr>
          <w:rFonts w:hint="cs"/>
          <w:rtl/>
        </w:rPr>
        <w:t>המ</w:t>
      </w:r>
      <w:r>
        <w:rPr>
          <w:rtl/>
        </w:rPr>
        <w:t>גפה</w:t>
      </w:r>
      <w:r w:rsidR="00C87446">
        <w:rPr>
          <w:rFonts w:hint="cs"/>
          <w:rtl/>
        </w:rPr>
        <w:t>, באופן יחסי</w:t>
      </w:r>
      <w:r w:rsidR="00052C42">
        <w:rPr>
          <w:rFonts w:hint="cs"/>
          <w:rtl/>
        </w:rPr>
        <w:t xml:space="preserve"> לשאר תושבי אירופה</w:t>
      </w:r>
      <w:r w:rsidR="00C87446">
        <w:rPr>
          <w:rFonts w:hint="cs"/>
          <w:rtl/>
        </w:rPr>
        <w:t>,</w:t>
      </w:r>
      <w:r>
        <w:rPr>
          <w:rtl/>
        </w:rPr>
        <w:t xml:space="preserve"> בשל התנהלותם ההיגיינית</w:t>
      </w:r>
      <w:r w:rsidR="006D2BBD">
        <w:rPr>
          <w:rFonts w:hint="cs"/>
          <w:rtl/>
        </w:rPr>
        <w:t>.</w:t>
      </w:r>
      <w:r>
        <w:rPr>
          <w:rtl/>
        </w:rPr>
        <w:t xml:space="preserve"> </w:t>
      </w:r>
      <w:r w:rsidR="006D2BBD">
        <w:rPr>
          <w:rFonts w:hint="cs"/>
          <w:rtl/>
        </w:rPr>
        <w:t>עם זאת,</w:t>
      </w:r>
      <w:r>
        <w:rPr>
          <w:rFonts w:hint="cs"/>
          <w:rtl/>
        </w:rPr>
        <w:t xml:space="preserve"> </w:t>
      </w:r>
      <w:r w:rsidR="00C87446">
        <w:rPr>
          <w:rFonts w:hint="cs"/>
          <w:rtl/>
        </w:rPr>
        <w:t>אין ספק</w:t>
      </w:r>
      <w:r>
        <w:rPr>
          <w:rtl/>
        </w:rPr>
        <w:t xml:space="preserve"> ש</w:t>
      </w:r>
      <w:r w:rsidR="00966746">
        <w:rPr>
          <w:rFonts w:hint="cs"/>
          <w:rtl/>
        </w:rPr>
        <w:t>גם</w:t>
      </w:r>
      <w:r w:rsidR="00987337">
        <w:rPr>
          <w:rFonts w:hint="cs"/>
          <w:rtl/>
        </w:rPr>
        <w:t xml:space="preserve"> </w:t>
      </w:r>
      <w:r w:rsidR="00966746">
        <w:rPr>
          <w:rFonts w:hint="cs"/>
          <w:rtl/>
        </w:rPr>
        <w:t>ב</w:t>
      </w:r>
      <w:r w:rsidR="006D2BBD">
        <w:rPr>
          <w:rFonts w:hint="cs"/>
          <w:rtl/>
        </w:rPr>
        <w:t>קהילה היהודית</w:t>
      </w:r>
      <w:r w:rsidR="00987337">
        <w:rPr>
          <w:rFonts w:hint="cs"/>
          <w:rtl/>
        </w:rPr>
        <w:t xml:space="preserve"> נספו </w:t>
      </w:r>
      <w:r>
        <w:rPr>
          <w:rtl/>
        </w:rPr>
        <w:t>אלפים.</w:t>
      </w:r>
      <w:r>
        <w:rPr>
          <w:rStyle w:val="a7"/>
          <w:rtl/>
        </w:rPr>
        <w:footnoteReference w:id="1"/>
      </w:r>
    </w:p>
    <w:p w14:paraId="52811FF6" w14:textId="398C9646" w:rsidR="00F90C07" w:rsidRDefault="00966746" w:rsidP="00C957FF">
      <w:pPr>
        <w:rPr>
          <w:rtl/>
        </w:rPr>
      </w:pPr>
      <w:r>
        <w:rPr>
          <w:rFonts w:hint="cs"/>
          <w:rtl/>
        </w:rPr>
        <w:t>לא רק המגפה</w:t>
      </w:r>
      <w:r w:rsidR="00C957FF">
        <w:rPr>
          <w:rFonts w:hint="cs"/>
          <w:rtl/>
        </w:rPr>
        <w:t xml:space="preserve"> בפני עצמה</w:t>
      </w:r>
      <w:r>
        <w:rPr>
          <w:rFonts w:hint="cs"/>
          <w:rtl/>
        </w:rPr>
        <w:t xml:space="preserve"> גבתה קורבנות מיהודי אירופה, אלא גם </w:t>
      </w:r>
      <w:r w:rsidR="00F90C07">
        <w:rPr>
          <w:rtl/>
        </w:rPr>
        <w:t xml:space="preserve">התגובה האנטישמית למגפה. "הסבר" פופולרי באותה תקופה היה שהיהודים הרעילו את </w:t>
      </w:r>
      <w:r w:rsidR="00F90C07">
        <w:rPr>
          <w:rFonts w:hint="cs"/>
          <w:rtl/>
        </w:rPr>
        <w:t>בארות המים</w:t>
      </w:r>
      <w:r w:rsidR="00F90C07">
        <w:rPr>
          <w:rtl/>
        </w:rPr>
        <w:t>.</w:t>
      </w:r>
      <w:r w:rsidR="00F90C07">
        <w:rPr>
          <w:rStyle w:val="a7"/>
          <w:rtl/>
        </w:rPr>
        <w:footnoteReference w:id="2"/>
      </w:r>
      <w:r w:rsidR="00F90C07">
        <w:rPr>
          <w:rtl/>
        </w:rPr>
        <w:t xml:space="preserve"> </w:t>
      </w:r>
      <w:r w:rsidR="00C957FF">
        <w:rPr>
          <w:rtl/>
        </w:rPr>
        <w:t xml:space="preserve">התפשטות </w:t>
      </w:r>
      <w:r w:rsidR="00C957FF">
        <w:rPr>
          <w:rFonts w:hint="cs"/>
          <w:rtl/>
        </w:rPr>
        <w:t>קונספירציה זו</w:t>
      </w:r>
      <w:r w:rsidR="00C957FF">
        <w:rPr>
          <w:rtl/>
        </w:rPr>
        <w:t xml:space="preserve"> הובילה לפוגרומים מחרידים שה</w:t>
      </w:r>
      <w:r w:rsidR="00C957FF">
        <w:rPr>
          <w:rFonts w:hint="cs"/>
          <w:rtl/>
        </w:rPr>
        <w:t xml:space="preserve">חריבו </w:t>
      </w:r>
      <w:r w:rsidR="00C957FF">
        <w:rPr>
          <w:rtl/>
        </w:rPr>
        <w:t>קהילות יהודיות שלמות.</w:t>
      </w:r>
    </w:p>
    <w:p w14:paraId="1C9D91E2" w14:textId="19087FA1" w:rsidR="00F90C07" w:rsidRDefault="00F90C07" w:rsidP="00052C42">
      <w:pPr>
        <w:rPr>
          <w:rtl/>
        </w:rPr>
      </w:pPr>
      <w:r>
        <w:rPr>
          <w:rtl/>
        </w:rPr>
        <w:t>בפברואר 1349</w:t>
      </w:r>
      <w:r>
        <w:rPr>
          <w:rFonts w:hint="cs"/>
          <w:rtl/>
        </w:rPr>
        <w:t xml:space="preserve"> (אדר ה'ק"ט)</w:t>
      </w:r>
      <w:r>
        <w:rPr>
          <w:rtl/>
        </w:rPr>
        <w:t>, בעיר שטרסבורג, נרצח</w:t>
      </w:r>
      <w:r w:rsidR="00052C42">
        <w:rPr>
          <w:rFonts w:hint="cs"/>
          <w:rtl/>
        </w:rPr>
        <w:t>ו</w:t>
      </w:r>
      <w:r w:rsidR="00C87446">
        <w:rPr>
          <w:rFonts w:hint="cs"/>
          <w:rtl/>
        </w:rPr>
        <w:t xml:space="preserve"> כאלפיים</w:t>
      </w:r>
      <w:r>
        <w:rPr>
          <w:rtl/>
        </w:rPr>
        <w:t xml:space="preserve"> יהודים. ב</w:t>
      </w:r>
      <w:r w:rsidR="004A32CB">
        <w:rPr>
          <w:rFonts w:hint="cs"/>
          <w:rtl/>
        </w:rPr>
        <w:t xml:space="preserve">חודש </w:t>
      </w:r>
      <w:r>
        <w:rPr>
          <w:rtl/>
        </w:rPr>
        <w:t>אוגוסט</w:t>
      </w:r>
      <w:r>
        <w:rPr>
          <w:rFonts w:hint="cs"/>
          <w:rtl/>
        </w:rPr>
        <w:t xml:space="preserve"> </w:t>
      </w:r>
      <w:r w:rsidR="004A32CB">
        <w:rPr>
          <w:rFonts w:hint="cs"/>
          <w:rtl/>
        </w:rPr>
        <w:t>של אותה השנה</w:t>
      </w:r>
      <w:r>
        <w:rPr>
          <w:rtl/>
        </w:rPr>
        <w:t xml:space="preserve"> נהרסו כליל הקהילות היהודיות של </w:t>
      </w:r>
      <w:proofErr w:type="spellStart"/>
      <w:r>
        <w:rPr>
          <w:rFonts w:hint="cs"/>
          <w:rtl/>
        </w:rPr>
        <w:t>מגנצא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וקלן.</w:t>
      </w:r>
      <w:r>
        <w:rPr>
          <w:rFonts w:hint="cs"/>
          <w:rtl/>
        </w:rPr>
        <w:t xml:space="preserve"> </w:t>
      </w:r>
      <w:r>
        <w:rPr>
          <w:rtl/>
        </w:rPr>
        <w:t>עד שנת 1351</w:t>
      </w:r>
      <w:r>
        <w:rPr>
          <w:rFonts w:hint="cs"/>
          <w:rtl/>
        </w:rPr>
        <w:t xml:space="preserve"> (ה'קי"א)</w:t>
      </w:r>
      <w:r>
        <w:rPr>
          <w:rtl/>
        </w:rPr>
        <w:t xml:space="preserve"> הושמדו </w:t>
      </w:r>
      <w:r w:rsidR="00C87446">
        <w:rPr>
          <w:rFonts w:hint="cs"/>
          <w:rtl/>
        </w:rPr>
        <w:t>כשישים</w:t>
      </w:r>
      <w:r>
        <w:rPr>
          <w:rtl/>
        </w:rPr>
        <w:t xml:space="preserve"> קהילות יהודיות גדולות ו</w:t>
      </w:r>
      <w:r w:rsidR="00C87446">
        <w:rPr>
          <w:rFonts w:hint="cs"/>
          <w:rtl/>
        </w:rPr>
        <w:t>כמאה וחמישים</w:t>
      </w:r>
      <w:r>
        <w:rPr>
          <w:rtl/>
        </w:rPr>
        <w:t xml:space="preserve"> קהילות קטנות יותר. אירועים </w:t>
      </w:r>
      <w:r w:rsidR="00C87446">
        <w:rPr>
          <w:rFonts w:hint="cs"/>
          <w:rtl/>
        </w:rPr>
        <w:t>מזעזעים</w:t>
      </w:r>
      <w:r>
        <w:rPr>
          <w:rtl/>
        </w:rPr>
        <w:t xml:space="preserve"> אלו </w:t>
      </w:r>
      <w:r w:rsidR="008B0EFF">
        <w:rPr>
          <w:rFonts w:hint="cs"/>
          <w:rtl/>
        </w:rPr>
        <w:t>גרמו</w:t>
      </w:r>
      <w:r>
        <w:rPr>
          <w:rtl/>
        </w:rPr>
        <w:t xml:space="preserve"> ליהודים </w:t>
      </w:r>
      <w:r w:rsidR="008B0EFF">
        <w:rPr>
          <w:rFonts w:hint="cs"/>
          <w:rtl/>
        </w:rPr>
        <w:t xml:space="preserve">רבים לברוח </w:t>
      </w:r>
      <w:r>
        <w:rPr>
          <w:rtl/>
        </w:rPr>
        <w:t xml:space="preserve">ממערב אירופה </w:t>
      </w:r>
      <w:r>
        <w:rPr>
          <w:rFonts w:hint="cs"/>
          <w:rtl/>
        </w:rPr>
        <w:t xml:space="preserve">לעבר </w:t>
      </w:r>
      <w:r>
        <w:rPr>
          <w:rtl/>
        </w:rPr>
        <w:t>פולין ומזרח אירופה.</w:t>
      </w:r>
      <w:r w:rsidR="00C957FF">
        <w:rPr>
          <w:rFonts w:hint="cs"/>
          <w:rtl/>
        </w:rPr>
        <w:t xml:space="preserve"> </w:t>
      </w:r>
      <w:r w:rsidR="00C957FF">
        <w:rPr>
          <w:rtl/>
        </w:rPr>
        <w:t>ייתכן ש</w:t>
      </w:r>
      <w:r w:rsidR="004A32CB">
        <w:rPr>
          <w:rFonts w:hint="cs"/>
          <w:rtl/>
        </w:rPr>
        <w:t>התגובה האנטישמית למגפה הייתה</w:t>
      </w:r>
      <w:r w:rsidR="00C957FF">
        <w:rPr>
          <w:rtl/>
        </w:rPr>
        <w:t xml:space="preserve"> </w:t>
      </w:r>
      <w:r w:rsidR="00C957FF">
        <w:rPr>
          <w:rFonts w:hint="cs"/>
          <w:rtl/>
        </w:rPr>
        <w:t>ראשית ה</w:t>
      </w:r>
      <w:r w:rsidR="00C957FF">
        <w:rPr>
          <w:rtl/>
        </w:rPr>
        <w:t>אנטישמיות המודרנית, ש</w:t>
      </w:r>
      <w:r w:rsidR="00C957FF">
        <w:rPr>
          <w:rFonts w:hint="cs"/>
          <w:rtl/>
        </w:rPr>
        <w:t xml:space="preserve">המשיכה לפתח </w:t>
      </w:r>
      <w:r w:rsidR="00C957FF">
        <w:rPr>
          <w:rtl/>
        </w:rPr>
        <w:t>תיאוריות קונספיר</w:t>
      </w:r>
      <w:r w:rsidR="00C957FF">
        <w:rPr>
          <w:rFonts w:hint="cs"/>
          <w:rtl/>
        </w:rPr>
        <w:t>טיביות</w:t>
      </w:r>
      <w:r w:rsidR="00C957FF">
        <w:rPr>
          <w:rtl/>
        </w:rPr>
        <w:t xml:space="preserve"> </w:t>
      </w:r>
      <w:r w:rsidR="00C957FF">
        <w:rPr>
          <w:rFonts w:hint="cs"/>
          <w:rtl/>
        </w:rPr>
        <w:t>המצביעות על היהודים כאשמים בכול צרות העולם</w:t>
      </w:r>
      <w:r w:rsidR="00C957FF">
        <w:rPr>
          <w:rtl/>
        </w:rPr>
        <w:t>.</w:t>
      </w:r>
    </w:p>
    <w:p w14:paraId="1852E3F8" w14:textId="406CC8DB" w:rsidR="00F90C07" w:rsidRDefault="00F90C07" w:rsidP="00A9587A">
      <w:pPr>
        <w:rPr>
          <w:rtl/>
        </w:rPr>
      </w:pPr>
      <w:r>
        <w:rPr>
          <w:rtl/>
        </w:rPr>
        <w:t xml:space="preserve">דור שלם של </w:t>
      </w:r>
      <w:r>
        <w:rPr>
          <w:rFonts w:hint="cs"/>
          <w:rtl/>
        </w:rPr>
        <w:t>גדולי תורה</w:t>
      </w:r>
      <w:r>
        <w:rPr>
          <w:rtl/>
        </w:rPr>
        <w:t xml:space="preserve"> נספו</w:t>
      </w:r>
      <w:r w:rsidR="00052C42">
        <w:rPr>
          <w:rFonts w:hint="cs"/>
          <w:rtl/>
        </w:rPr>
        <w:t xml:space="preserve"> במגיפה</w:t>
      </w:r>
      <w:r w:rsidR="00BA0D00">
        <w:rPr>
          <w:rFonts w:hint="cs"/>
          <w:rtl/>
        </w:rPr>
        <w:t>.</w:t>
      </w:r>
      <w:r>
        <w:rPr>
          <w:rtl/>
        </w:rPr>
        <w:t xml:space="preserve"> ישיבות ומרכזים תורניים </w:t>
      </w:r>
      <w:r w:rsidR="00BA0D00">
        <w:rPr>
          <w:rFonts w:hint="cs"/>
          <w:rtl/>
        </w:rPr>
        <w:t xml:space="preserve">נותרו </w:t>
      </w:r>
      <w:r w:rsidR="00A9587A">
        <w:rPr>
          <w:rFonts w:hint="cs"/>
          <w:rtl/>
        </w:rPr>
        <w:t>שוממים</w:t>
      </w:r>
      <w:r>
        <w:rPr>
          <w:rtl/>
        </w:rPr>
        <w:t xml:space="preserve">. האתגר של </w:t>
      </w:r>
      <w:r w:rsidR="00A9587A">
        <w:rPr>
          <w:rFonts w:hint="cs"/>
          <w:rtl/>
        </w:rPr>
        <w:t>חידוש עולם התורה</w:t>
      </w:r>
      <w:r>
        <w:rPr>
          <w:rtl/>
        </w:rPr>
        <w:t xml:space="preserve"> נפל על כתפי דור </w:t>
      </w:r>
      <w:r w:rsidR="00A9587A">
        <w:rPr>
          <w:rFonts w:hint="cs"/>
          <w:rtl/>
        </w:rPr>
        <w:t>צעיר</w:t>
      </w:r>
      <w:r>
        <w:rPr>
          <w:rtl/>
        </w:rPr>
        <w:t xml:space="preserve">, שלא ראה </w:t>
      </w:r>
      <w:r>
        <w:rPr>
          <w:rFonts w:hint="cs"/>
          <w:rtl/>
        </w:rPr>
        <w:t xml:space="preserve">את </w:t>
      </w:r>
      <w:r>
        <w:rPr>
          <w:rtl/>
        </w:rPr>
        <w:t xml:space="preserve">עצמו </w:t>
      </w:r>
      <w:r>
        <w:rPr>
          <w:rFonts w:hint="cs"/>
          <w:rtl/>
        </w:rPr>
        <w:t>כ</w:t>
      </w:r>
      <w:r>
        <w:rPr>
          <w:rtl/>
        </w:rPr>
        <w:t>ראוי להיות ממשי</w:t>
      </w:r>
      <w:r w:rsidR="00A9587A">
        <w:rPr>
          <w:rFonts w:hint="cs"/>
          <w:rtl/>
        </w:rPr>
        <w:t>ך</w:t>
      </w:r>
      <w:r>
        <w:rPr>
          <w:rtl/>
        </w:rPr>
        <w:t xml:space="preserve"> דרכ</w:t>
      </w:r>
      <w:r w:rsidR="00C957FF">
        <w:rPr>
          <w:rFonts w:hint="cs"/>
          <w:rtl/>
        </w:rPr>
        <w:t>ן</w:t>
      </w:r>
      <w:r>
        <w:rPr>
          <w:rtl/>
        </w:rPr>
        <w:t xml:space="preserve"> של </w:t>
      </w:r>
      <w:r>
        <w:rPr>
          <w:rFonts w:hint="cs"/>
          <w:rtl/>
        </w:rPr>
        <w:t xml:space="preserve">דמויות </w:t>
      </w:r>
      <w:r>
        <w:rPr>
          <w:rtl/>
        </w:rPr>
        <w:t>כה נעלות.</w:t>
      </w:r>
      <w:r w:rsidR="00A9587A">
        <w:rPr>
          <w:rFonts w:hint="cs"/>
          <w:rtl/>
        </w:rPr>
        <w:t xml:space="preserve"> </w:t>
      </w:r>
      <w:r>
        <w:rPr>
          <w:rtl/>
        </w:rPr>
        <w:t xml:space="preserve">אחד מרבנים </w:t>
      </w:r>
      <w:r w:rsidR="00A9587A">
        <w:rPr>
          <w:rFonts w:hint="cs"/>
          <w:rtl/>
        </w:rPr>
        <w:t>א</w:t>
      </w:r>
      <w:r>
        <w:rPr>
          <w:rtl/>
        </w:rPr>
        <w:t xml:space="preserve">לו היה </w:t>
      </w:r>
      <w:proofErr w:type="spellStart"/>
      <w:r>
        <w:rPr>
          <w:rtl/>
        </w:rPr>
        <w:t>המהרי"ל</w:t>
      </w:r>
      <w:proofErr w:type="spellEnd"/>
      <w:r w:rsidR="00A9587A">
        <w:rPr>
          <w:rFonts w:hint="cs"/>
          <w:rtl/>
        </w:rPr>
        <w:t>.</w:t>
      </w:r>
      <w:r>
        <w:rPr>
          <w:rStyle w:val="a7"/>
          <w:rtl/>
        </w:rPr>
        <w:footnoteReference w:id="3"/>
      </w:r>
      <w:r>
        <w:rPr>
          <w:rtl/>
        </w:rPr>
        <w:t xml:space="preserve"> ספר </w:t>
      </w:r>
      <w:r>
        <w:rPr>
          <w:rFonts w:hint="cs"/>
          <w:rtl/>
        </w:rPr>
        <w:t>המנהגים שלו,</w:t>
      </w:r>
      <w:r w:rsidR="00C957FF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ספר מנ</w:t>
      </w:r>
      <w:r>
        <w:rPr>
          <w:rFonts w:hint="cs"/>
          <w:rtl/>
        </w:rPr>
        <w:t>הג</w:t>
      </w:r>
      <w:r>
        <w:rPr>
          <w:rtl/>
        </w:rPr>
        <w:t xml:space="preserve">י </w:t>
      </w:r>
      <w:proofErr w:type="spellStart"/>
      <w:r>
        <w:rPr>
          <w:rtl/>
        </w:rPr>
        <w:t>מהרי"ל</w:t>
      </w:r>
      <w:proofErr w:type="spellEnd"/>
      <w:r>
        <w:rPr>
          <w:rFonts w:hint="cs"/>
          <w:rtl/>
        </w:rPr>
        <w:t>"</w:t>
      </w:r>
      <w:r>
        <w:rPr>
          <w:rtl/>
        </w:rPr>
        <w:t xml:space="preserve">, הפך למקור עיקרי </w:t>
      </w:r>
      <w:r w:rsidR="004A32CB">
        <w:rPr>
          <w:rFonts w:hint="cs"/>
          <w:rtl/>
        </w:rPr>
        <w:t xml:space="preserve">בעניין </w:t>
      </w:r>
      <w:r>
        <w:rPr>
          <w:rFonts w:hint="cs"/>
          <w:rtl/>
        </w:rPr>
        <w:t>מנ</w:t>
      </w:r>
      <w:r>
        <w:rPr>
          <w:rtl/>
        </w:rPr>
        <w:t>הג</w:t>
      </w:r>
      <w:r>
        <w:rPr>
          <w:rFonts w:hint="cs"/>
          <w:rtl/>
        </w:rPr>
        <w:t>י</w:t>
      </w:r>
      <w:r>
        <w:rPr>
          <w:rtl/>
        </w:rPr>
        <w:t xml:space="preserve"> אשכנז. </w:t>
      </w:r>
      <w:r>
        <w:rPr>
          <w:rFonts w:hint="cs"/>
          <w:rtl/>
        </w:rPr>
        <w:t>הרבה</w:t>
      </w:r>
      <w:r>
        <w:rPr>
          <w:rtl/>
        </w:rPr>
        <w:t xml:space="preserve"> </w:t>
      </w:r>
      <w:r>
        <w:rPr>
          <w:rFonts w:hint="cs"/>
          <w:rtl/>
        </w:rPr>
        <w:t xml:space="preserve">מנהגים </w:t>
      </w:r>
      <w:r w:rsidR="004A32CB">
        <w:rPr>
          <w:rFonts w:hint="cs"/>
          <w:rtl/>
        </w:rPr>
        <w:t>הת</w:t>
      </w:r>
      <w:r>
        <w:rPr>
          <w:rFonts w:hint="cs"/>
          <w:rtl/>
        </w:rPr>
        <w:t xml:space="preserve">קבעו </w:t>
      </w:r>
      <w:r w:rsidR="004A32CB">
        <w:rPr>
          <w:rFonts w:hint="cs"/>
          <w:rtl/>
        </w:rPr>
        <w:t xml:space="preserve">בדורו </w:t>
      </w:r>
      <w:r>
        <w:rPr>
          <w:rtl/>
        </w:rPr>
        <w:t>ופורסמו.</w:t>
      </w:r>
      <w:r>
        <w:rPr>
          <w:rStyle w:val="a7"/>
          <w:rtl/>
        </w:rPr>
        <w:footnoteReference w:id="4"/>
      </w:r>
    </w:p>
    <w:p w14:paraId="0664417D" w14:textId="2546304C" w:rsidR="00A9587A" w:rsidRDefault="00F90C07" w:rsidP="00A9587A">
      <w:pPr>
        <w:rPr>
          <w:rtl/>
        </w:rPr>
      </w:pPr>
      <w:r>
        <w:rPr>
          <w:rtl/>
        </w:rPr>
        <w:t xml:space="preserve">ישנה טענה </w:t>
      </w:r>
      <w:r>
        <w:rPr>
          <w:rFonts w:hint="cs"/>
          <w:rtl/>
        </w:rPr>
        <w:t>שימי</w:t>
      </w:r>
      <w:r>
        <w:rPr>
          <w:rtl/>
        </w:rPr>
        <w:t xml:space="preserve"> המוות השחור מסמנ</w:t>
      </w:r>
      <w:r>
        <w:rPr>
          <w:rFonts w:hint="cs"/>
          <w:rtl/>
        </w:rPr>
        <w:t>ים</w:t>
      </w:r>
      <w:r>
        <w:rPr>
          <w:rtl/>
        </w:rPr>
        <w:t xml:space="preserve"> את </w:t>
      </w:r>
      <w:r>
        <w:rPr>
          <w:rFonts w:hint="cs"/>
          <w:rtl/>
        </w:rPr>
        <w:t xml:space="preserve">נקודת </w:t>
      </w:r>
      <w:r>
        <w:rPr>
          <w:rtl/>
        </w:rPr>
        <w:t xml:space="preserve">המעבר בין תקופת הראשונים </w:t>
      </w:r>
      <w:r>
        <w:rPr>
          <w:rFonts w:hint="cs"/>
          <w:rtl/>
        </w:rPr>
        <w:t xml:space="preserve">לתקופת </w:t>
      </w:r>
      <w:r>
        <w:rPr>
          <w:rtl/>
        </w:rPr>
        <w:t xml:space="preserve">האחרונים. </w:t>
      </w:r>
      <w:r w:rsidR="00A9587A">
        <w:rPr>
          <w:rFonts w:hint="cs"/>
          <w:rtl/>
        </w:rPr>
        <w:t xml:space="preserve">טענה זו מתבססת </w:t>
      </w:r>
      <w:r>
        <w:rPr>
          <w:rtl/>
        </w:rPr>
        <w:t xml:space="preserve">על </w:t>
      </w:r>
      <w:r w:rsidR="00A9587A">
        <w:rPr>
          <w:rFonts w:hint="cs"/>
          <w:rtl/>
        </w:rPr>
        <w:t>ההשלכות הדרמטיות של המגפה</w:t>
      </w:r>
      <w:r>
        <w:rPr>
          <w:rtl/>
        </w:rPr>
        <w:t xml:space="preserve"> על הקהילה</w:t>
      </w:r>
      <w:r>
        <w:rPr>
          <w:rFonts w:hint="cs"/>
          <w:rtl/>
        </w:rPr>
        <w:t xml:space="preserve"> היהודית</w:t>
      </w:r>
      <w:r w:rsidR="00A9587A">
        <w:rPr>
          <w:rFonts w:hint="cs"/>
          <w:rtl/>
        </w:rPr>
        <w:t xml:space="preserve">, </w:t>
      </w:r>
      <w:r>
        <w:rPr>
          <w:rtl/>
        </w:rPr>
        <w:t xml:space="preserve">עד </w:t>
      </w:r>
      <w:r>
        <w:rPr>
          <w:rFonts w:hint="cs"/>
          <w:rtl/>
        </w:rPr>
        <w:t xml:space="preserve">כדי </w:t>
      </w:r>
      <w:r w:rsidR="00A9587A">
        <w:rPr>
          <w:rFonts w:hint="cs"/>
          <w:rtl/>
        </w:rPr>
        <w:t>חידוש</w:t>
      </w:r>
      <w:r>
        <w:rPr>
          <w:rtl/>
        </w:rPr>
        <w:t xml:space="preserve"> גישות</w:t>
      </w:r>
      <w:r>
        <w:rPr>
          <w:rFonts w:hint="cs"/>
          <w:rtl/>
        </w:rPr>
        <w:t xml:space="preserve"> שונות בתוך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עולם התורני.</w:t>
      </w:r>
    </w:p>
    <w:p w14:paraId="53436D64" w14:textId="33BC14D5" w:rsidR="00F90C07" w:rsidRDefault="00626B67" w:rsidP="00A9587A">
      <w:pPr>
        <w:rPr>
          <w:rtl/>
        </w:rPr>
      </w:pPr>
      <w:r>
        <w:rPr>
          <w:rFonts w:hint="cs"/>
          <w:rtl/>
        </w:rPr>
        <w:t>בנוסף ל</w:t>
      </w:r>
      <w:r w:rsidR="00F90C07">
        <w:rPr>
          <w:rtl/>
        </w:rPr>
        <w:t>מוות השחור</w:t>
      </w:r>
      <w:r>
        <w:rPr>
          <w:rFonts w:hint="cs"/>
          <w:rtl/>
        </w:rPr>
        <w:t>,</w:t>
      </w:r>
      <w:r w:rsidR="00F90C07">
        <w:rPr>
          <w:rtl/>
        </w:rPr>
        <w:t xml:space="preserve"> </w:t>
      </w:r>
      <w:r>
        <w:rPr>
          <w:rFonts w:hint="cs"/>
          <w:rtl/>
        </w:rPr>
        <w:t>מגפות רבות נוספות פקדו את העולם בתקופה זו</w:t>
      </w:r>
      <w:r w:rsidR="00F90C07">
        <w:rPr>
          <w:rtl/>
        </w:rPr>
        <w:t>. תנאי הרפואה וההיגיינה</w:t>
      </w:r>
      <w:r w:rsidR="00A9587A">
        <w:rPr>
          <w:rFonts w:hint="cs"/>
          <w:rtl/>
        </w:rPr>
        <w:t xml:space="preserve"> </w:t>
      </w:r>
      <w:r w:rsidR="00F90C07">
        <w:rPr>
          <w:rtl/>
        </w:rPr>
        <w:t>היו גרועים מאוד, ומחלות מדבקות התפשטו לכל עבר.</w:t>
      </w:r>
      <w:r w:rsidR="00A9587A">
        <w:rPr>
          <w:rFonts w:hint="cs"/>
          <w:rtl/>
        </w:rPr>
        <w:t xml:space="preserve"> בשיעור זה ננסה לבחון </w:t>
      </w:r>
      <w:r w:rsidR="00987337">
        <w:rPr>
          <w:rFonts w:hint="cs"/>
          <w:rtl/>
        </w:rPr>
        <w:t>היבטים</w:t>
      </w:r>
      <w:r w:rsidR="00A9587A">
        <w:rPr>
          <w:rFonts w:hint="cs"/>
          <w:rtl/>
        </w:rPr>
        <w:t xml:space="preserve"> הלכתיים הנוגעים למגפות ו</w:t>
      </w:r>
      <w:r>
        <w:rPr>
          <w:rFonts w:hint="cs"/>
          <w:rtl/>
        </w:rPr>
        <w:t>ל</w:t>
      </w:r>
      <w:r w:rsidR="00A9587A">
        <w:rPr>
          <w:rFonts w:hint="cs"/>
          <w:rtl/>
        </w:rPr>
        <w:t>מחלות.</w:t>
      </w:r>
    </w:p>
    <w:p w14:paraId="60E68ED1" w14:textId="77777777" w:rsidR="00A9587A" w:rsidRDefault="00A9587A" w:rsidP="00A9587A">
      <w:pPr>
        <w:rPr>
          <w:rtl/>
        </w:rPr>
      </w:pPr>
    </w:p>
    <w:p w14:paraId="10D370FE" w14:textId="0801D04E" w:rsidR="00F90C07" w:rsidRPr="00A9587A" w:rsidRDefault="00F90C07" w:rsidP="00A9587A">
      <w:pPr>
        <w:rPr>
          <w:b/>
          <w:bCs/>
          <w:u w:val="single"/>
          <w:rtl/>
        </w:rPr>
      </w:pPr>
      <w:r w:rsidRPr="00F70552">
        <w:rPr>
          <w:b/>
          <w:bCs/>
          <w:u w:val="single"/>
          <w:rtl/>
        </w:rPr>
        <w:t xml:space="preserve">מגע עם חולים </w:t>
      </w:r>
      <w:r>
        <w:rPr>
          <w:rFonts w:hint="cs"/>
          <w:b/>
          <w:bCs/>
          <w:u w:val="single"/>
          <w:rtl/>
        </w:rPr>
        <w:t>במחלה מדבקת</w:t>
      </w:r>
    </w:p>
    <w:p w14:paraId="1753DBEF" w14:textId="1E9DA341" w:rsidR="00F90C07" w:rsidRDefault="00E720D5" w:rsidP="00E720D5">
      <w:pPr>
        <w:rPr>
          <w:rtl/>
        </w:rPr>
      </w:pPr>
      <w:r>
        <w:rPr>
          <w:rFonts w:hint="cs"/>
          <w:rtl/>
        </w:rPr>
        <w:t xml:space="preserve">הטיפול בחולים מעלה לעתים שאלות הלכתיות. לדוגמה, </w:t>
      </w:r>
      <w:r w:rsidR="00F90C07">
        <w:rPr>
          <w:rtl/>
        </w:rPr>
        <w:t xml:space="preserve">האם רופאים נדרשים לסכן את עצמם </w:t>
      </w:r>
      <w:r>
        <w:rPr>
          <w:rFonts w:hint="cs"/>
          <w:rtl/>
        </w:rPr>
        <w:t>במסגרת הטיפול</w:t>
      </w:r>
      <w:r w:rsidR="00626B67">
        <w:rPr>
          <w:rFonts w:hint="cs"/>
          <w:rtl/>
        </w:rPr>
        <w:t>?</w:t>
      </w:r>
      <w:r>
        <w:rPr>
          <w:rFonts w:hint="cs"/>
          <w:rtl/>
        </w:rPr>
        <w:t xml:space="preserve"> כמו כן, </w:t>
      </w:r>
      <w:r w:rsidR="00F90C07">
        <w:rPr>
          <w:rtl/>
        </w:rPr>
        <w:t xml:space="preserve">במקרים רבים ביקור </w:t>
      </w:r>
      <w:r w:rsidR="00F90C07">
        <w:rPr>
          <w:rFonts w:hint="cs"/>
          <w:rtl/>
        </w:rPr>
        <w:t xml:space="preserve">חולה בביתו </w:t>
      </w:r>
      <w:r w:rsidR="00F90C07">
        <w:rPr>
          <w:rtl/>
        </w:rPr>
        <w:t xml:space="preserve">או בבית </w:t>
      </w:r>
      <w:r w:rsidR="00F90C07">
        <w:rPr>
          <w:rFonts w:hint="cs"/>
          <w:rtl/>
        </w:rPr>
        <w:t>ה</w:t>
      </w:r>
      <w:r w:rsidR="00F90C07">
        <w:rPr>
          <w:rtl/>
        </w:rPr>
        <w:t>חולים עלול ל</w:t>
      </w:r>
      <w:r w:rsidR="00847B3F">
        <w:rPr>
          <w:rFonts w:hint="cs"/>
          <w:rtl/>
        </w:rPr>
        <w:t xml:space="preserve">חשוף את המבקר </w:t>
      </w:r>
      <w:proofErr w:type="spellStart"/>
      <w:r w:rsidR="00847B3F">
        <w:rPr>
          <w:rFonts w:hint="cs"/>
          <w:rtl/>
        </w:rPr>
        <w:t>לוירוסים</w:t>
      </w:r>
      <w:proofErr w:type="spellEnd"/>
      <w:r w:rsidR="00847B3F">
        <w:rPr>
          <w:rFonts w:hint="cs"/>
          <w:rtl/>
        </w:rPr>
        <w:t xml:space="preserve"> וחיידקים רבים</w:t>
      </w:r>
      <w:r w:rsidR="00F90C07">
        <w:rPr>
          <w:rtl/>
        </w:rPr>
        <w:t>. האם מותר ל</w:t>
      </w:r>
      <w:r w:rsidR="00F90C07">
        <w:rPr>
          <w:rFonts w:hint="cs"/>
          <w:rtl/>
        </w:rPr>
        <w:t>אדם ל</w:t>
      </w:r>
      <w:r w:rsidR="00F90C07">
        <w:rPr>
          <w:rtl/>
        </w:rPr>
        <w:t>בקר חולים ובכך לסכן את עצמו?</w:t>
      </w:r>
    </w:p>
    <w:p w14:paraId="516299C7" w14:textId="249673AF" w:rsidR="00F90C07" w:rsidRDefault="00F90C07" w:rsidP="00F90C07">
      <w:pPr>
        <w:rPr>
          <w:rtl/>
        </w:rPr>
      </w:pPr>
      <w:r>
        <w:rPr>
          <w:rtl/>
        </w:rPr>
        <w:t xml:space="preserve">התורה מצווה על </w:t>
      </w:r>
      <w:r>
        <w:rPr>
          <w:rFonts w:hint="cs"/>
          <w:rtl/>
        </w:rPr>
        <w:t xml:space="preserve">עם ישראל לשמור על ביטחונם </w:t>
      </w:r>
      <w:r>
        <w:rPr>
          <w:rtl/>
        </w:rPr>
        <w:t>ובריאות</w:t>
      </w:r>
      <w:r>
        <w:rPr>
          <w:rFonts w:hint="cs"/>
          <w:rtl/>
        </w:rPr>
        <w:t>ם</w:t>
      </w:r>
      <w:r>
        <w:rPr>
          <w:rtl/>
        </w:rPr>
        <w:t xml:space="preserve">. </w:t>
      </w:r>
      <w:r>
        <w:rPr>
          <w:rFonts w:hint="cs"/>
          <w:rtl/>
        </w:rPr>
        <w:t xml:space="preserve">הפסוק </w:t>
      </w:r>
      <w:r>
        <w:rPr>
          <w:rtl/>
        </w:rPr>
        <w:t>"ונשמר</w:t>
      </w:r>
      <w:r>
        <w:rPr>
          <w:rFonts w:hint="cs"/>
          <w:rtl/>
        </w:rPr>
        <w:t>ת</w:t>
      </w:r>
      <w:r>
        <w:rPr>
          <w:rtl/>
        </w:rPr>
        <w:t>ם מ</w:t>
      </w:r>
      <w:r>
        <w:rPr>
          <w:rFonts w:hint="cs"/>
          <w:rtl/>
        </w:rPr>
        <w:t>א</w:t>
      </w:r>
      <w:r>
        <w:rPr>
          <w:rtl/>
        </w:rPr>
        <w:t>וד לנפשותי</w:t>
      </w:r>
      <w:r>
        <w:rPr>
          <w:rFonts w:hint="cs"/>
          <w:rtl/>
        </w:rPr>
        <w:t>כם</w:t>
      </w:r>
      <w:r>
        <w:rPr>
          <w:rtl/>
        </w:rPr>
        <w:t xml:space="preserve">" (דברים ד, טו) מתפרש על ידי </w:t>
      </w:r>
      <w:r>
        <w:rPr>
          <w:rFonts w:hint="cs"/>
          <w:rtl/>
        </w:rPr>
        <w:t xml:space="preserve">חז"ל כאיסור על אדם </w:t>
      </w:r>
      <w:r>
        <w:rPr>
          <w:rtl/>
        </w:rPr>
        <w:t>להיכנס למצב שיש בו סכנה לחייו.</w:t>
      </w:r>
      <w:r>
        <w:rPr>
          <w:rStyle w:val="a7"/>
          <w:rtl/>
        </w:rPr>
        <w:footnoteReference w:id="5"/>
      </w:r>
      <w:r>
        <w:rPr>
          <w:rtl/>
        </w:rPr>
        <w:t xml:space="preserve"> יתר על כן, אסור ל</w:t>
      </w:r>
      <w:r>
        <w:rPr>
          <w:rFonts w:hint="cs"/>
          <w:rtl/>
        </w:rPr>
        <w:t>אדם ל</w:t>
      </w:r>
      <w:r>
        <w:rPr>
          <w:rtl/>
        </w:rPr>
        <w:t>סכן את חייו אפילו כדי להציל אחרים</w:t>
      </w:r>
      <w:r w:rsidR="00847B3F">
        <w:rPr>
          <w:rFonts w:hint="cs"/>
          <w:rtl/>
        </w:rPr>
        <w:t>.</w:t>
      </w:r>
      <w:r>
        <w:rPr>
          <w:rStyle w:val="a7"/>
          <w:rtl/>
        </w:rPr>
        <w:footnoteReference w:id="6"/>
      </w:r>
    </w:p>
    <w:p w14:paraId="321FF5BA" w14:textId="787F8BC6" w:rsidR="00F90C07" w:rsidRDefault="00F90C07" w:rsidP="00847B3F">
      <w:pPr>
        <w:rPr>
          <w:rtl/>
        </w:rPr>
      </w:pPr>
      <w:r>
        <w:rPr>
          <w:rtl/>
        </w:rPr>
        <w:t xml:space="preserve">עם זאת, נסיעה </w:t>
      </w:r>
      <w:r w:rsidR="00806F54">
        <w:rPr>
          <w:rFonts w:hint="cs"/>
          <w:rtl/>
        </w:rPr>
        <w:t>ב</w:t>
      </w:r>
      <w:r>
        <w:rPr>
          <w:rtl/>
        </w:rPr>
        <w:t xml:space="preserve">כביש מהיר </w:t>
      </w:r>
      <w:r w:rsidR="00847B3F">
        <w:rPr>
          <w:rFonts w:hint="cs"/>
          <w:rtl/>
        </w:rPr>
        <w:t>בוודאי מותרת, על אף שהיא מסכנת את החיים ברמה מסוימת. נראה שההלכה</w:t>
      </w:r>
      <w:r>
        <w:rPr>
          <w:rFonts w:hint="cs"/>
          <w:rtl/>
        </w:rPr>
        <w:t xml:space="preserve"> </w:t>
      </w:r>
      <w:r>
        <w:rPr>
          <w:rtl/>
        </w:rPr>
        <w:t>מתיר</w:t>
      </w:r>
      <w:r w:rsidR="00847B3F">
        <w:rPr>
          <w:rFonts w:hint="cs"/>
          <w:rtl/>
        </w:rPr>
        <w:t>ה</w:t>
      </w:r>
      <w:r>
        <w:rPr>
          <w:rtl/>
        </w:rPr>
        <w:t xml:space="preserve"> כניסה למצבים שיש בהם </w:t>
      </w:r>
      <w:r>
        <w:rPr>
          <w:rFonts w:hint="cs"/>
          <w:rtl/>
        </w:rPr>
        <w:t>רמה</w:t>
      </w:r>
      <w:r>
        <w:rPr>
          <w:rtl/>
        </w:rPr>
        <w:t xml:space="preserve"> מינימלית של סכנה. </w:t>
      </w:r>
      <w:r>
        <w:rPr>
          <w:rFonts w:hint="cs"/>
          <w:rtl/>
        </w:rPr>
        <w:t>הי</w:t>
      </w:r>
      <w:r>
        <w:rPr>
          <w:rtl/>
        </w:rPr>
        <w:t xml:space="preserve">תר </w:t>
      </w:r>
      <w:r>
        <w:rPr>
          <w:rFonts w:hint="cs"/>
          <w:rtl/>
        </w:rPr>
        <w:t xml:space="preserve">זה </w:t>
      </w:r>
      <w:r>
        <w:rPr>
          <w:rtl/>
        </w:rPr>
        <w:t>מבוסס על הפסוק "שומר פת</w:t>
      </w:r>
      <w:r>
        <w:rPr>
          <w:rFonts w:hint="cs"/>
          <w:rtl/>
        </w:rPr>
        <w:t>א</w:t>
      </w:r>
      <w:r>
        <w:rPr>
          <w:rtl/>
        </w:rPr>
        <w:t>ים ה'</w:t>
      </w:r>
      <w:r>
        <w:rPr>
          <w:rFonts w:hint="cs"/>
          <w:rtl/>
        </w:rPr>
        <w:t xml:space="preserve">" </w:t>
      </w:r>
      <w:r>
        <w:rPr>
          <w:rtl/>
        </w:rPr>
        <w:t xml:space="preserve">(תהילים </w:t>
      </w:r>
      <w:proofErr w:type="spellStart"/>
      <w:r>
        <w:rPr>
          <w:rtl/>
        </w:rPr>
        <w:t>טז</w:t>
      </w:r>
      <w:proofErr w:type="spellEnd"/>
      <w:r>
        <w:rPr>
          <w:rtl/>
        </w:rPr>
        <w:t>, ו).</w:t>
      </w:r>
      <w:r>
        <w:rPr>
          <w:rStyle w:val="a7"/>
          <w:rtl/>
        </w:rPr>
        <w:footnoteReference w:id="7"/>
      </w:r>
      <w:r w:rsidR="00847B3F">
        <w:rPr>
          <w:rFonts w:hint="cs"/>
          <w:rtl/>
        </w:rPr>
        <w:t xml:space="preserve"> </w:t>
      </w:r>
      <w:r>
        <w:rPr>
          <w:rFonts w:hint="cs"/>
          <w:rtl/>
        </w:rPr>
        <w:t>בנוסף</w:t>
      </w:r>
      <w:r>
        <w:rPr>
          <w:rtl/>
        </w:rPr>
        <w:t xml:space="preserve">, </w:t>
      </w:r>
      <w:r w:rsidR="00847B3F">
        <w:rPr>
          <w:rFonts w:hint="cs"/>
          <w:rtl/>
        </w:rPr>
        <w:t>לצורך</w:t>
      </w:r>
      <w:r>
        <w:rPr>
          <w:rFonts w:hint="cs"/>
          <w:rtl/>
        </w:rPr>
        <w:t xml:space="preserve"> </w:t>
      </w:r>
      <w:r>
        <w:rPr>
          <w:rtl/>
        </w:rPr>
        <w:t>פרנסה</w:t>
      </w:r>
      <w:r>
        <w:rPr>
          <w:rFonts w:hint="cs"/>
          <w:rtl/>
        </w:rPr>
        <w:t xml:space="preserve"> </w:t>
      </w:r>
      <w:r>
        <w:rPr>
          <w:rtl/>
        </w:rPr>
        <w:t xml:space="preserve">מותר </w:t>
      </w:r>
      <w:r>
        <w:rPr>
          <w:rFonts w:hint="cs"/>
          <w:rtl/>
        </w:rPr>
        <w:t>להיחשף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>סיכונים גבוהים מהרגיל.</w:t>
      </w:r>
      <w:r>
        <w:rPr>
          <w:rStyle w:val="a7"/>
          <w:rtl/>
        </w:rPr>
        <w:footnoteReference w:id="8"/>
      </w:r>
    </w:p>
    <w:p w14:paraId="4022B92A" w14:textId="3400C693" w:rsidR="00F90C07" w:rsidRDefault="00F90C07" w:rsidP="00847B3F">
      <w:pPr>
        <w:rPr>
          <w:rtl/>
        </w:rPr>
      </w:pPr>
      <w:r>
        <w:rPr>
          <w:rtl/>
        </w:rPr>
        <w:t>בהתבסס על עקרונות אלה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ניתן </w:t>
      </w:r>
      <w:r>
        <w:rPr>
          <w:rtl/>
        </w:rPr>
        <w:t xml:space="preserve">להסיק </w:t>
      </w:r>
      <w:r w:rsidR="00847B3F">
        <w:rPr>
          <w:rFonts w:hint="cs"/>
          <w:rtl/>
        </w:rPr>
        <w:t>ש</w:t>
      </w:r>
      <w:r>
        <w:rPr>
          <w:rtl/>
        </w:rPr>
        <w:t>ניתן לבקר ח</w:t>
      </w:r>
      <w:r w:rsidR="00847B3F">
        <w:rPr>
          <w:rFonts w:hint="cs"/>
          <w:rtl/>
        </w:rPr>
        <w:t xml:space="preserve">ולה </w:t>
      </w:r>
      <w:r>
        <w:rPr>
          <w:rtl/>
        </w:rPr>
        <w:t>אם סכנת ההידבקות מינימלית</w:t>
      </w:r>
      <w:r w:rsidR="00847B3F">
        <w:rPr>
          <w:rFonts w:hint="cs"/>
          <w:rtl/>
        </w:rPr>
        <w:t>, וניתן להכריע ש</w:t>
      </w:r>
      <w:r>
        <w:rPr>
          <w:rtl/>
        </w:rPr>
        <w:t>רופא רשאי לטפל בחולים גם כאשר הסיכון גבוה יותר.</w:t>
      </w:r>
      <w:r w:rsidR="00847B3F">
        <w:rPr>
          <w:rFonts w:hint="cs"/>
          <w:rtl/>
        </w:rPr>
        <w:t xml:space="preserve"> </w:t>
      </w:r>
      <w:r>
        <w:rPr>
          <w:rFonts w:hint="cs"/>
          <w:rtl/>
        </w:rPr>
        <w:t>אולם</w:t>
      </w:r>
      <w:r>
        <w:rPr>
          <w:rtl/>
        </w:rPr>
        <w:t>, במקרה של וירוס מדבק</w:t>
      </w:r>
      <w:r w:rsidR="00C118C1">
        <w:rPr>
          <w:rFonts w:hint="cs"/>
          <w:rtl/>
        </w:rPr>
        <w:t xml:space="preserve"> ומסוכן</w:t>
      </w:r>
      <w:r>
        <w:rPr>
          <w:rtl/>
        </w:rPr>
        <w:t>, האם מותר לבקר חולים?</w:t>
      </w:r>
      <w:r>
        <w:rPr>
          <w:rStyle w:val="a7"/>
          <w:rtl/>
        </w:rPr>
        <w:footnoteReference w:id="9"/>
      </w:r>
    </w:p>
    <w:p w14:paraId="4D9A7FE8" w14:textId="23F37C45" w:rsidR="00F90C07" w:rsidRDefault="00F90C07" w:rsidP="00806F54">
      <w:pPr>
        <w:rPr>
          <w:rtl/>
        </w:rPr>
      </w:pPr>
      <w:r>
        <w:rPr>
          <w:rtl/>
        </w:rPr>
        <w:t xml:space="preserve">הפוסקים </w:t>
      </w:r>
      <w:r>
        <w:rPr>
          <w:rFonts w:hint="cs"/>
          <w:rtl/>
        </w:rPr>
        <w:t>מזכירים</w:t>
      </w:r>
      <w:r>
        <w:rPr>
          <w:rtl/>
        </w:rPr>
        <w:t xml:space="preserve"> </w:t>
      </w:r>
      <w:r>
        <w:rPr>
          <w:rFonts w:hint="cs"/>
          <w:rtl/>
        </w:rPr>
        <w:t xml:space="preserve">תשובה של </w:t>
      </w:r>
      <w:proofErr w:type="spellStart"/>
      <w:r>
        <w:rPr>
          <w:rFonts w:hint="cs"/>
          <w:rtl/>
        </w:rPr>
        <w:t>הרמ"א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המתייחס</w:t>
      </w:r>
      <w:r>
        <w:rPr>
          <w:rFonts w:hint="cs"/>
          <w:rtl/>
        </w:rPr>
        <w:t>ת</w:t>
      </w:r>
      <w:r>
        <w:rPr>
          <w:rtl/>
        </w:rPr>
        <w:t xml:space="preserve"> לשאלה הבאה:</w:t>
      </w:r>
    </w:p>
    <w:p w14:paraId="4F7A6A8C" w14:textId="205354F3" w:rsidR="00F90C07" w:rsidRDefault="00F90C07" w:rsidP="00806F54">
      <w:pPr>
        <w:ind w:left="720"/>
        <w:rPr>
          <w:rtl/>
        </w:rPr>
      </w:pPr>
      <w:r>
        <w:rPr>
          <w:rtl/>
        </w:rPr>
        <w:t xml:space="preserve">ראובן שהשכיר ביתו לשמעון לזמן אחד שידור אצלו בביתו, ונגמר קנין השכירות כמנהג העיר שלא היה אחד מהן יכול לחזור, וקודם כניסת שמעון לבית חלתה אשת שמעון חולי הקדחת שקורין </w:t>
      </w:r>
      <w:proofErr w:type="spellStart"/>
      <w:r>
        <w:rPr>
          <w:rtl/>
        </w:rPr>
        <w:t>גע"ל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זוכ"ט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lastRenderedPageBreak/>
        <w:t>בל"א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ל"ע</w:t>
      </w:r>
      <w:proofErr w:type="spellEnd"/>
      <w:r>
        <w:rPr>
          <w:rtl/>
        </w:rPr>
        <w:t xml:space="preserve"> ובהגיע זמן כניסת שמעון לחדרו ראובן מעכב עליו באמרו </w:t>
      </w:r>
      <w:proofErr w:type="spellStart"/>
      <w:r>
        <w:rPr>
          <w:rtl/>
        </w:rPr>
        <w:t>שאדעתא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דהכי</w:t>
      </w:r>
      <w:proofErr w:type="spellEnd"/>
      <w:r>
        <w:rPr>
          <w:rtl/>
        </w:rPr>
        <w:t xml:space="preserve"> לא השכיר לו ביתו, שיקבל אצלו אשתו החולנית חולי כזה שהוא חולי </w:t>
      </w:r>
      <w:proofErr w:type="spellStart"/>
      <w:r>
        <w:rPr>
          <w:rtl/>
        </w:rPr>
        <w:t>מתדבק</w:t>
      </w:r>
      <w:proofErr w:type="spellEnd"/>
      <w:r>
        <w:rPr>
          <w:rtl/>
        </w:rPr>
        <w:t xml:space="preserve">. וע"י אונס זה רוצה ראובן לחזור </w:t>
      </w:r>
      <w:proofErr w:type="spellStart"/>
      <w:r>
        <w:rPr>
          <w:rtl/>
        </w:rPr>
        <w:t>משכירותו</w:t>
      </w:r>
      <w:proofErr w:type="spellEnd"/>
      <w:r>
        <w:rPr>
          <w:rtl/>
        </w:rPr>
        <w:t xml:space="preserve"> ולא רצה לקבל שמעון בביתו.</w:t>
      </w:r>
      <w:r>
        <w:rPr>
          <w:rStyle w:val="a7"/>
          <w:rtl/>
        </w:rPr>
        <w:footnoteReference w:id="10"/>
      </w:r>
    </w:p>
    <w:p w14:paraId="5CCF7A17" w14:textId="37EEAC18" w:rsidR="00F90C07" w:rsidRDefault="00F90C07" w:rsidP="00806F54">
      <w:pPr>
        <w:rPr>
          <w:rtl/>
        </w:rPr>
      </w:pPr>
      <w:proofErr w:type="spellStart"/>
      <w:r>
        <w:rPr>
          <w:rtl/>
        </w:rPr>
        <w:t>הרמ"א</w:t>
      </w:r>
      <w:proofErr w:type="spellEnd"/>
      <w:r>
        <w:rPr>
          <w:rtl/>
        </w:rPr>
        <w:t xml:space="preserve"> עוסק בתשובתו בעיקר בענייני חושן משפט, כלומר בהשלכות </w:t>
      </w:r>
      <w:r>
        <w:rPr>
          <w:rFonts w:hint="cs"/>
          <w:rtl/>
        </w:rPr>
        <w:t>הממוניות.</w:t>
      </w:r>
      <w:r>
        <w:rPr>
          <w:rtl/>
        </w:rPr>
        <w:t xml:space="preserve"> עם זאת, לקראת </w:t>
      </w:r>
      <w:r>
        <w:rPr>
          <w:rFonts w:hint="cs"/>
          <w:rtl/>
        </w:rPr>
        <w:t>סוף התשובה</w:t>
      </w:r>
      <w:r>
        <w:rPr>
          <w:rtl/>
        </w:rPr>
        <w:t xml:space="preserve">, הוא </w:t>
      </w:r>
      <w:r>
        <w:rPr>
          <w:rFonts w:hint="cs"/>
          <w:rtl/>
        </w:rPr>
        <w:t>מעלה ס</w:t>
      </w:r>
      <w:r>
        <w:rPr>
          <w:rtl/>
        </w:rPr>
        <w:t xml:space="preserve">פק </w:t>
      </w:r>
      <w:r>
        <w:rPr>
          <w:rFonts w:hint="cs"/>
          <w:rtl/>
        </w:rPr>
        <w:t>ה</w:t>
      </w:r>
      <w:r>
        <w:rPr>
          <w:rtl/>
        </w:rPr>
        <w:t xml:space="preserve">אם </w:t>
      </w:r>
      <w:r>
        <w:rPr>
          <w:rFonts w:hint="cs"/>
          <w:rtl/>
        </w:rPr>
        <w:t>ה</w:t>
      </w:r>
      <w:r>
        <w:rPr>
          <w:rtl/>
        </w:rPr>
        <w:t xml:space="preserve">מצב </w:t>
      </w:r>
      <w:r>
        <w:rPr>
          <w:rFonts w:hint="cs"/>
          <w:rtl/>
        </w:rPr>
        <w:t>ה</w:t>
      </w:r>
      <w:r>
        <w:rPr>
          <w:rtl/>
        </w:rPr>
        <w:t xml:space="preserve">זה נחשב למצב </w:t>
      </w:r>
      <w:r>
        <w:rPr>
          <w:rFonts w:hint="cs"/>
          <w:rtl/>
        </w:rPr>
        <w:t>של אונס</w:t>
      </w:r>
      <w:r>
        <w:rPr>
          <w:rtl/>
        </w:rPr>
        <w:t>. הוא פוסק:</w:t>
      </w:r>
    </w:p>
    <w:p w14:paraId="6EBC24C3" w14:textId="016B685B" w:rsidR="00F90C07" w:rsidRDefault="00F90C07" w:rsidP="00806F54">
      <w:pPr>
        <w:ind w:left="720"/>
        <w:rPr>
          <w:rtl/>
        </w:rPr>
      </w:pPr>
      <w:r>
        <w:rPr>
          <w:rtl/>
        </w:rPr>
        <w:t xml:space="preserve">כי מה שאומר שהוא חולי </w:t>
      </w:r>
      <w:proofErr w:type="spellStart"/>
      <w:r>
        <w:rPr>
          <w:rtl/>
        </w:rPr>
        <w:t>מתדבק</w:t>
      </w:r>
      <w:proofErr w:type="spellEnd"/>
      <w:r>
        <w:rPr>
          <w:rtl/>
        </w:rPr>
        <w:t xml:space="preserve"> כולו הבל ומי שלבו נוקפו אומר כן, כי השם יתעלה הוא המוחץ והרופא. ואם היה כדברי המשכיר בטל כל דיני ביקור חולים כי לא מצינו בשום מקום שחלקו בין חולי </w:t>
      </w:r>
      <w:proofErr w:type="spellStart"/>
      <w:r>
        <w:rPr>
          <w:rtl/>
        </w:rPr>
        <w:t>מתדבק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לשאינו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מתדבק</w:t>
      </w:r>
      <w:proofErr w:type="spellEnd"/>
      <w:r w:rsidR="00806F54">
        <w:rPr>
          <w:rFonts w:hint="cs"/>
          <w:rtl/>
        </w:rPr>
        <w:t>.</w:t>
      </w:r>
    </w:p>
    <w:p w14:paraId="37288019" w14:textId="6EC7A39A" w:rsidR="00F90C07" w:rsidRDefault="00F90C07" w:rsidP="00806F54">
      <w:pPr>
        <w:rPr>
          <w:rtl/>
        </w:rPr>
      </w:pPr>
      <w:r>
        <w:rPr>
          <w:rtl/>
        </w:rPr>
        <w:t xml:space="preserve">נראה </w:t>
      </w:r>
      <w:proofErr w:type="spellStart"/>
      <w:r>
        <w:rPr>
          <w:rtl/>
        </w:rPr>
        <w:t>שהרמ"א</w:t>
      </w:r>
      <w:proofErr w:type="spellEnd"/>
      <w:r>
        <w:rPr>
          <w:rtl/>
        </w:rPr>
        <w:t xml:space="preserve"> לא כל כך </w:t>
      </w:r>
      <w:r>
        <w:rPr>
          <w:rFonts w:hint="cs"/>
          <w:rtl/>
        </w:rPr>
        <w:t>מוטרד</w:t>
      </w:r>
      <w:r>
        <w:rPr>
          <w:rtl/>
        </w:rPr>
        <w:t xml:space="preserve"> </w:t>
      </w:r>
      <w:r>
        <w:rPr>
          <w:rFonts w:hint="cs"/>
          <w:rtl/>
        </w:rPr>
        <w:t>מ</w:t>
      </w:r>
      <w:r>
        <w:rPr>
          <w:rtl/>
        </w:rPr>
        <w:t>מחלות מדבקות</w:t>
      </w:r>
      <w:r>
        <w:rPr>
          <w:rFonts w:hint="cs"/>
          <w:rtl/>
        </w:rPr>
        <w:t>,</w:t>
      </w:r>
      <w:r>
        <w:rPr>
          <w:rtl/>
        </w:rPr>
        <w:t xml:space="preserve"> ואינו חושב </w:t>
      </w:r>
      <w:r>
        <w:rPr>
          <w:rFonts w:hint="cs"/>
          <w:rtl/>
        </w:rPr>
        <w:t xml:space="preserve">שהשיקול </w:t>
      </w:r>
      <w:r>
        <w:rPr>
          <w:rtl/>
        </w:rPr>
        <w:t>של סכנת נפשות צרי</w:t>
      </w:r>
      <w:r>
        <w:rPr>
          <w:rFonts w:hint="cs"/>
          <w:rtl/>
        </w:rPr>
        <w:t>ך</w:t>
      </w:r>
      <w:r>
        <w:rPr>
          <w:rtl/>
        </w:rPr>
        <w:t xml:space="preserve"> למנוע מאנשים לקיים </w:t>
      </w:r>
      <w:r>
        <w:rPr>
          <w:rFonts w:hint="cs"/>
          <w:rtl/>
        </w:rPr>
        <w:t xml:space="preserve">את מצוות </w:t>
      </w:r>
      <w:r>
        <w:rPr>
          <w:rtl/>
        </w:rPr>
        <w:t>ביקור חולים.</w:t>
      </w:r>
    </w:p>
    <w:p w14:paraId="27C70AD6" w14:textId="3B3F0084" w:rsidR="00F90C07" w:rsidRDefault="00F90C07" w:rsidP="00F90C07">
      <w:pPr>
        <w:rPr>
          <w:rtl/>
        </w:rPr>
      </w:pPr>
      <w:r>
        <w:rPr>
          <w:rtl/>
        </w:rPr>
        <w:t>יש פוסקים שמ</w:t>
      </w:r>
      <w:r w:rsidR="00806F54">
        <w:rPr>
          <w:rFonts w:hint="cs"/>
          <w:rtl/>
        </w:rPr>
        <w:t>קשים</w:t>
      </w:r>
      <w:r>
        <w:rPr>
          <w:rFonts w:hint="cs"/>
          <w:rtl/>
        </w:rPr>
        <w:t xml:space="preserve"> על </w:t>
      </w:r>
      <w:r>
        <w:rPr>
          <w:rtl/>
        </w:rPr>
        <w:t xml:space="preserve">דעת </w:t>
      </w:r>
      <w:proofErr w:type="spellStart"/>
      <w:r>
        <w:rPr>
          <w:rtl/>
        </w:rPr>
        <w:t>הרמ"א</w:t>
      </w:r>
      <w:proofErr w:type="spellEnd"/>
      <w:r>
        <w:rPr>
          <w:rtl/>
        </w:rPr>
        <w:t xml:space="preserve"> </w:t>
      </w:r>
      <w:r w:rsidR="00806F54">
        <w:rPr>
          <w:rFonts w:hint="cs"/>
          <w:rtl/>
        </w:rPr>
        <w:t>מדבריו</w:t>
      </w:r>
      <w:r>
        <w:rPr>
          <w:rtl/>
        </w:rPr>
        <w:t xml:space="preserve"> </w:t>
      </w:r>
      <w:r w:rsidR="0053640B">
        <w:rPr>
          <w:rFonts w:hint="cs"/>
          <w:rtl/>
        </w:rPr>
        <w:t>ביחס ל</w:t>
      </w:r>
      <w:r>
        <w:rPr>
          <w:rtl/>
        </w:rPr>
        <w:t>צעדים שיש לנקוט ב</w:t>
      </w:r>
      <w:r>
        <w:rPr>
          <w:rFonts w:hint="cs"/>
          <w:rtl/>
        </w:rPr>
        <w:t xml:space="preserve">מקרה של </w:t>
      </w:r>
      <w:r>
        <w:rPr>
          <w:rtl/>
        </w:rPr>
        <w:t>התפרצות מגפה.</w:t>
      </w:r>
      <w:r>
        <w:rPr>
          <w:rStyle w:val="a7"/>
          <w:rtl/>
        </w:rPr>
        <w:footnoteReference w:id="11"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</w:t>
      </w:r>
      <w:r w:rsidR="0053640B">
        <w:rPr>
          <w:rFonts w:hint="cs"/>
          <w:rtl/>
        </w:rPr>
        <w:t>רמ"א</w:t>
      </w:r>
      <w:proofErr w:type="spellEnd"/>
      <w:r>
        <w:rPr>
          <w:rFonts w:hint="cs"/>
          <w:rtl/>
        </w:rPr>
        <w:t xml:space="preserve"> פוסק ש</w:t>
      </w:r>
      <w:r>
        <w:rPr>
          <w:rtl/>
        </w:rPr>
        <w:t>יש לעזוב את העיר מיד בתחילת התפרצות מגפה</w:t>
      </w:r>
      <w:r w:rsidR="0053640B">
        <w:rPr>
          <w:rFonts w:hint="cs"/>
          <w:rtl/>
        </w:rPr>
        <w:t>,</w:t>
      </w:r>
      <w:r>
        <w:rPr>
          <w:rStyle w:val="a7"/>
          <w:rtl/>
        </w:rPr>
        <w:footnoteReference w:id="12"/>
      </w:r>
      <w:r>
        <w:rPr>
          <w:rtl/>
        </w:rPr>
        <w:t xml:space="preserve"> </w:t>
      </w:r>
      <w:r w:rsidR="0053640B">
        <w:rPr>
          <w:rFonts w:hint="cs"/>
          <w:rtl/>
        </w:rPr>
        <w:t>ו</w:t>
      </w:r>
      <w:r>
        <w:rPr>
          <w:rtl/>
        </w:rPr>
        <w:t xml:space="preserve">שאסור לסמוך על </w:t>
      </w:r>
      <w:r>
        <w:rPr>
          <w:rFonts w:hint="cs"/>
          <w:rtl/>
        </w:rPr>
        <w:t>ה</w:t>
      </w:r>
      <w:r>
        <w:rPr>
          <w:rtl/>
        </w:rPr>
        <w:t>נס.</w:t>
      </w:r>
      <w:r>
        <w:rPr>
          <w:rStyle w:val="a7"/>
          <w:rtl/>
        </w:rPr>
        <w:footnoteReference w:id="13"/>
      </w:r>
    </w:p>
    <w:p w14:paraId="46EB96BA" w14:textId="7BDC37BD" w:rsidR="00F90C07" w:rsidRDefault="00F90C07" w:rsidP="0053640B">
      <w:pPr>
        <w:rPr>
          <w:rtl/>
        </w:rPr>
      </w:pPr>
      <w:r>
        <w:rPr>
          <w:rtl/>
        </w:rPr>
        <w:t xml:space="preserve">נראה כי </w:t>
      </w:r>
      <w:r>
        <w:rPr>
          <w:rFonts w:hint="cs"/>
          <w:rtl/>
        </w:rPr>
        <w:t xml:space="preserve">ניתן ליישב את הפסיקות השונות של </w:t>
      </w:r>
      <w:proofErr w:type="spellStart"/>
      <w:r>
        <w:rPr>
          <w:rFonts w:hint="cs"/>
          <w:rtl/>
        </w:rPr>
        <w:t>הרמ"א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בתשוב</w:t>
      </w:r>
      <w:r w:rsidR="0053640B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="0053640B">
        <w:rPr>
          <w:rFonts w:hint="cs"/>
          <w:rtl/>
        </w:rPr>
        <w:t>בנוגע להשכרת הבית לחולה</w:t>
      </w:r>
      <w:r>
        <w:rPr>
          <w:rFonts w:hint="cs"/>
          <w:rtl/>
        </w:rPr>
        <w:t xml:space="preserve">, </w:t>
      </w:r>
      <w:r>
        <w:rPr>
          <w:rtl/>
        </w:rPr>
        <w:t xml:space="preserve">הוא מזכיר שכאשר מדובר במחלה מסוכנת כמו צרעת, יש לנקוט באמצעי זהירות </w:t>
      </w:r>
      <w:r>
        <w:rPr>
          <w:rFonts w:hint="cs"/>
          <w:rtl/>
        </w:rPr>
        <w:t>מיוחדים</w:t>
      </w:r>
      <w:r>
        <w:rPr>
          <w:rtl/>
        </w:rPr>
        <w:t xml:space="preserve"> ולא לבוא במגע עם החולה. באופן דומה, הוא קובע שבזמן של סכנה חמורה כמו התפרצות מגפה, אסור</w:t>
      </w:r>
      <w:r>
        <w:rPr>
          <w:rFonts w:hint="cs"/>
          <w:rtl/>
        </w:rPr>
        <w:t xml:space="preserve"> לאדם</w:t>
      </w:r>
      <w:r>
        <w:rPr>
          <w:rtl/>
        </w:rPr>
        <w:t xml:space="preserve"> לסכן את חייו.</w:t>
      </w:r>
    </w:p>
    <w:p w14:paraId="0A487201" w14:textId="7152821A" w:rsidR="00F90C07" w:rsidRDefault="00F90C07" w:rsidP="008B315A">
      <w:pPr>
        <w:rPr>
          <w:rtl/>
        </w:rPr>
      </w:pPr>
      <w:r>
        <w:rPr>
          <w:rFonts w:hint="cs"/>
          <w:rtl/>
        </w:rPr>
        <w:t xml:space="preserve">רבי </w:t>
      </w:r>
      <w:r>
        <w:rPr>
          <w:rtl/>
        </w:rPr>
        <w:t>חיים ח</w:t>
      </w:r>
      <w:r>
        <w:rPr>
          <w:rFonts w:hint="cs"/>
          <w:rtl/>
        </w:rPr>
        <w:t>זקי</w:t>
      </w:r>
      <w:r>
        <w:rPr>
          <w:rtl/>
        </w:rPr>
        <w:t xml:space="preserve">ה מדיני (ישראל, 1834–1904), </w:t>
      </w:r>
      <w:r w:rsidR="00962442">
        <w:rPr>
          <w:rFonts w:hint="cs"/>
          <w:rtl/>
        </w:rPr>
        <w:t xml:space="preserve">בעל ה"שדי חמד", </w:t>
      </w:r>
      <w:r>
        <w:rPr>
          <w:rtl/>
        </w:rPr>
        <w:t>מסביר כי יש</w:t>
      </w:r>
      <w:r>
        <w:rPr>
          <w:rFonts w:hint="cs"/>
          <w:rtl/>
        </w:rPr>
        <w:t>נה</w:t>
      </w:r>
      <w:r>
        <w:rPr>
          <w:rtl/>
        </w:rPr>
        <w:t xml:space="preserve"> מחלוקת בקרב הפוסקים בנוגע לשאלתנו.</w:t>
      </w:r>
      <w:r w:rsidR="008B315A">
        <w:rPr>
          <w:rFonts w:hint="cs"/>
          <w:rtl/>
        </w:rPr>
        <w:t xml:space="preserve"> </w:t>
      </w:r>
      <w:r>
        <w:rPr>
          <w:rFonts w:hint="cs"/>
          <w:rtl/>
        </w:rPr>
        <w:t>מצד אחד</w:t>
      </w:r>
      <w:r>
        <w:rPr>
          <w:rtl/>
        </w:rPr>
        <w:t xml:space="preserve">, </w:t>
      </w:r>
      <w:r>
        <w:rPr>
          <w:rFonts w:hint="cs"/>
          <w:rtl/>
        </w:rPr>
        <w:t>בעל ספר "כנסת הגדולה"</w:t>
      </w:r>
      <w:r>
        <w:rPr>
          <w:rStyle w:val="a7"/>
          <w:rtl/>
        </w:rPr>
        <w:footnoteReference w:id="14"/>
      </w:r>
      <w:r>
        <w:rPr>
          <w:rFonts w:hint="cs"/>
          <w:rtl/>
        </w:rPr>
        <w:t xml:space="preserve"> </w:t>
      </w:r>
      <w:r>
        <w:rPr>
          <w:rtl/>
        </w:rPr>
        <w:t>טוען כי מצוות ביקור חולים חלה גם כאשר החולה סובל ממחלה מדבקת.</w:t>
      </w:r>
      <w:r>
        <w:rPr>
          <w:rFonts w:hint="cs"/>
          <w:rtl/>
        </w:rPr>
        <w:t xml:space="preserve"> </w:t>
      </w:r>
      <w:r>
        <w:rPr>
          <w:rtl/>
        </w:rPr>
        <w:t xml:space="preserve">מנגד, </w:t>
      </w:r>
      <w:r>
        <w:rPr>
          <w:rFonts w:hint="cs"/>
          <w:rtl/>
        </w:rPr>
        <w:t>בעל ה"שולחן גבוה"</w:t>
      </w:r>
      <w:r>
        <w:rPr>
          <w:rStyle w:val="a7"/>
          <w:rtl/>
        </w:rPr>
        <w:footnoteReference w:id="15"/>
      </w:r>
      <w:r>
        <w:rPr>
          <w:rtl/>
        </w:rPr>
        <w:t xml:space="preserve"> </w:t>
      </w:r>
      <w:r w:rsidR="001928A1">
        <w:rPr>
          <w:rFonts w:hint="cs"/>
          <w:rtl/>
        </w:rPr>
        <w:t xml:space="preserve">פוסק </w:t>
      </w:r>
      <w:r>
        <w:rPr>
          <w:rtl/>
        </w:rPr>
        <w:t xml:space="preserve">שאסור להיכנס למצב </w:t>
      </w:r>
      <w:r>
        <w:rPr>
          <w:rFonts w:hint="cs"/>
          <w:rtl/>
        </w:rPr>
        <w:t>של ספק</w:t>
      </w:r>
      <w:r>
        <w:rPr>
          <w:rtl/>
        </w:rPr>
        <w:t xml:space="preserve"> סכנת נפשות.</w:t>
      </w:r>
      <w:r>
        <w:rPr>
          <w:rStyle w:val="a7"/>
          <w:rtl/>
        </w:rPr>
        <w:footnoteReference w:id="16"/>
      </w:r>
    </w:p>
    <w:p w14:paraId="184A3515" w14:textId="69051256" w:rsidR="00F90C07" w:rsidRDefault="00F90C07" w:rsidP="00F90C07">
      <w:pPr>
        <w:rPr>
          <w:rtl/>
        </w:rPr>
      </w:pPr>
      <w:r>
        <w:rPr>
          <w:rFonts w:hint="cs"/>
          <w:rtl/>
        </w:rPr>
        <w:t xml:space="preserve">ניתן למצוא </w:t>
      </w:r>
      <w:r>
        <w:rPr>
          <w:rtl/>
        </w:rPr>
        <w:t xml:space="preserve">דעה אמצעית בחיבורי </w:t>
      </w:r>
      <w:r>
        <w:rPr>
          <w:rFonts w:hint="cs"/>
          <w:rtl/>
        </w:rPr>
        <w:t xml:space="preserve">רבי </w:t>
      </w:r>
      <w:r>
        <w:rPr>
          <w:rtl/>
        </w:rPr>
        <w:t xml:space="preserve">חיים </w:t>
      </w:r>
      <w:proofErr w:type="spellStart"/>
      <w:r>
        <w:rPr>
          <w:rFonts w:hint="cs"/>
          <w:rtl/>
        </w:rPr>
        <w:t>פלאג'י</w:t>
      </w:r>
      <w:proofErr w:type="spellEnd"/>
      <w:r>
        <w:rPr>
          <w:rStyle w:val="a7"/>
          <w:rtl/>
        </w:rPr>
        <w:footnoteReference w:id="17"/>
      </w:r>
      <w:r>
        <w:rPr>
          <w:rFonts w:hint="cs"/>
          <w:rtl/>
        </w:rPr>
        <w:t xml:space="preserve"> </w:t>
      </w:r>
      <w:r>
        <w:rPr>
          <w:rtl/>
        </w:rPr>
        <w:t xml:space="preserve">(טורקיה, 1788–1868), </w:t>
      </w:r>
      <w:r>
        <w:rPr>
          <w:rFonts w:hint="cs"/>
          <w:rtl/>
        </w:rPr>
        <w:t>ש</w:t>
      </w:r>
      <w:r>
        <w:rPr>
          <w:rtl/>
        </w:rPr>
        <w:t>כותב שאין חובה</w:t>
      </w:r>
      <w:r>
        <w:rPr>
          <w:rFonts w:hint="cs"/>
          <w:rtl/>
        </w:rPr>
        <w:t xml:space="preserve"> על אדם</w:t>
      </w:r>
      <w:r>
        <w:rPr>
          <w:rtl/>
        </w:rPr>
        <w:t xml:space="preserve"> לסכן את חייו </w:t>
      </w:r>
      <w:r>
        <w:rPr>
          <w:rFonts w:hint="cs"/>
          <w:rtl/>
        </w:rPr>
        <w:t xml:space="preserve">כדי לבקר </w:t>
      </w:r>
      <w:r>
        <w:rPr>
          <w:rtl/>
        </w:rPr>
        <w:t xml:space="preserve">חולים. </w:t>
      </w:r>
      <w:r>
        <w:rPr>
          <w:rFonts w:hint="cs"/>
          <w:rtl/>
        </w:rPr>
        <w:t xml:space="preserve">מהניסוח שלו עולה כי </w:t>
      </w:r>
      <w:r w:rsidR="008B315A">
        <w:rPr>
          <w:rFonts w:hint="cs"/>
          <w:rtl/>
        </w:rPr>
        <w:t>על אף שאין חובה, אין גם איסור.</w:t>
      </w:r>
      <w:r>
        <w:rPr>
          <w:rStyle w:val="a7"/>
          <w:rtl/>
        </w:rPr>
        <w:footnoteReference w:id="18"/>
      </w:r>
    </w:p>
    <w:p w14:paraId="71E31A40" w14:textId="77777777" w:rsidR="00F90C07" w:rsidRDefault="00F90C07" w:rsidP="00F90C07">
      <w:pPr>
        <w:rPr>
          <w:rtl/>
        </w:rPr>
      </w:pPr>
    </w:p>
    <w:p w14:paraId="491BCEDB" w14:textId="029D5DCA" w:rsidR="00F90C07" w:rsidRPr="008B315A" w:rsidRDefault="00F90C07" w:rsidP="008B315A">
      <w:pPr>
        <w:rPr>
          <w:b/>
          <w:bCs/>
          <w:u w:val="single"/>
          <w:rtl/>
        </w:rPr>
      </w:pPr>
      <w:r w:rsidRPr="005364FC">
        <w:rPr>
          <w:rFonts w:hint="cs"/>
          <w:b/>
          <w:bCs/>
          <w:u w:val="single"/>
          <w:rtl/>
        </w:rPr>
        <w:t>פוסקי זמננו</w:t>
      </w:r>
    </w:p>
    <w:p w14:paraId="605F2A7A" w14:textId="32348D34" w:rsidR="00F90C07" w:rsidRDefault="00F90C07" w:rsidP="00962442">
      <w:pPr>
        <w:rPr>
          <w:rtl/>
        </w:rPr>
      </w:pPr>
      <w:r>
        <w:rPr>
          <w:rtl/>
        </w:rPr>
        <w:t>הרב עובדיה יוסף</w:t>
      </w:r>
      <w:r>
        <w:rPr>
          <w:rStyle w:val="a7"/>
          <w:rtl/>
        </w:rPr>
        <w:footnoteReference w:id="19"/>
      </w:r>
      <w:r>
        <w:rPr>
          <w:rtl/>
        </w:rPr>
        <w:t xml:space="preserve"> והרב שמואל הלוי </w:t>
      </w:r>
      <w:proofErr w:type="spellStart"/>
      <w:r>
        <w:rPr>
          <w:rtl/>
        </w:rPr>
        <w:t>ו</w:t>
      </w:r>
      <w:r>
        <w:rPr>
          <w:rFonts w:hint="cs"/>
          <w:rtl/>
        </w:rPr>
        <w:t>וז</w:t>
      </w:r>
      <w:r>
        <w:rPr>
          <w:rtl/>
        </w:rPr>
        <w:t>נר</w:t>
      </w:r>
      <w:proofErr w:type="spellEnd"/>
      <w:r>
        <w:rPr>
          <w:rStyle w:val="a7"/>
          <w:rtl/>
        </w:rPr>
        <w:footnoteReference w:id="20"/>
      </w:r>
      <w:r>
        <w:rPr>
          <w:rtl/>
        </w:rPr>
        <w:t xml:space="preserve"> אוסרים לבקר חולים המהווים </w:t>
      </w:r>
      <w:r>
        <w:rPr>
          <w:rFonts w:hint="cs"/>
          <w:rtl/>
        </w:rPr>
        <w:t>סיכון ל</w:t>
      </w:r>
      <w:r>
        <w:rPr>
          <w:rtl/>
        </w:rPr>
        <w:t>אחרים.</w:t>
      </w:r>
    </w:p>
    <w:p w14:paraId="3D3F0078" w14:textId="25BE51DE" w:rsidR="00F90C07" w:rsidRDefault="00F90C07" w:rsidP="00962442">
      <w:pPr>
        <w:rPr>
          <w:rtl/>
        </w:rPr>
      </w:pPr>
      <w:r>
        <w:rPr>
          <w:rtl/>
        </w:rPr>
        <w:t xml:space="preserve">הרב אליעזר </w:t>
      </w:r>
      <w:proofErr w:type="spellStart"/>
      <w:r>
        <w:rPr>
          <w:rtl/>
        </w:rPr>
        <w:t>ולדנברג</w:t>
      </w:r>
      <w:proofErr w:type="spellEnd"/>
      <w:r>
        <w:rPr>
          <w:rtl/>
        </w:rPr>
        <w:t xml:space="preserve"> נשאל על אחריותו של רופא לטפל בחולים </w:t>
      </w:r>
      <w:r>
        <w:rPr>
          <w:rFonts w:hint="cs"/>
          <w:rtl/>
        </w:rPr>
        <w:t>ב</w:t>
      </w:r>
      <w:r>
        <w:rPr>
          <w:rtl/>
        </w:rPr>
        <w:t xml:space="preserve">מחלה מדבקת. לאחר ציטוט </w:t>
      </w:r>
      <w:r w:rsidR="00962442">
        <w:rPr>
          <w:rFonts w:hint="cs"/>
          <w:rtl/>
        </w:rPr>
        <w:t>חלק מה</w:t>
      </w:r>
      <w:r>
        <w:rPr>
          <w:rFonts w:hint="cs"/>
          <w:rtl/>
        </w:rPr>
        <w:t>מקורות שה</w:t>
      </w:r>
      <w:r w:rsidR="00962442">
        <w:rPr>
          <w:rFonts w:hint="cs"/>
          <w:rtl/>
        </w:rPr>
        <w:t>צגנו</w:t>
      </w:r>
      <w:r>
        <w:rPr>
          <w:rtl/>
        </w:rPr>
        <w:t xml:space="preserve">, הוא פוסק </w:t>
      </w:r>
      <w:r w:rsidR="00962442">
        <w:rPr>
          <w:rFonts w:hint="cs"/>
          <w:rtl/>
        </w:rPr>
        <w:t xml:space="preserve">לעניין ביקור חולים </w:t>
      </w:r>
      <w:r>
        <w:rPr>
          <w:rtl/>
        </w:rPr>
        <w:t xml:space="preserve">שאם המחלה מהווה סכנת חיים לסובבים את החולה, אזי </w:t>
      </w:r>
      <w:r w:rsidR="00962442">
        <w:rPr>
          <w:rFonts w:hint="cs"/>
          <w:rtl/>
        </w:rPr>
        <w:t>הביקור אסור</w:t>
      </w:r>
      <w:r>
        <w:rPr>
          <w:rtl/>
        </w:rPr>
        <w:t xml:space="preserve">. </w:t>
      </w:r>
      <w:r>
        <w:rPr>
          <w:rFonts w:hint="cs"/>
          <w:rtl/>
        </w:rPr>
        <w:t>ל</w:t>
      </w:r>
      <w:r>
        <w:rPr>
          <w:rtl/>
        </w:rPr>
        <w:t>הבנתו</w:t>
      </w:r>
      <w:r>
        <w:rPr>
          <w:rFonts w:hint="cs"/>
          <w:rtl/>
        </w:rPr>
        <w:t xml:space="preserve">, גם </w:t>
      </w:r>
      <w:proofErr w:type="spellStart"/>
      <w:r>
        <w:rPr>
          <w:rtl/>
        </w:rPr>
        <w:t>הרמ</w:t>
      </w:r>
      <w:r>
        <w:rPr>
          <w:rFonts w:hint="cs"/>
          <w:rtl/>
        </w:rPr>
        <w:t>"</w:t>
      </w:r>
      <w:r>
        <w:rPr>
          <w:rtl/>
        </w:rPr>
        <w:t>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פוסק </w:t>
      </w:r>
      <w:r>
        <w:rPr>
          <w:rtl/>
        </w:rPr>
        <w:t>באופן דומה.</w:t>
      </w:r>
      <w:r>
        <w:rPr>
          <w:rStyle w:val="a7"/>
          <w:rtl/>
        </w:rPr>
        <w:footnoteReference w:id="21"/>
      </w:r>
      <w:r>
        <w:rPr>
          <w:rtl/>
        </w:rPr>
        <w:t xml:space="preserve"> הרב </w:t>
      </w:r>
      <w:proofErr w:type="spellStart"/>
      <w:r>
        <w:rPr>
          <w:rtl/>
        </w:rPr>
        <w:t>ולדנברג</w:t>
      </w:r>
      <w:proofErr w:type="spellEnd"/>
      <w:r>
        <w:rPr>
          <w:rtl/>
        </w:rPr>
        <w:t xml:space="preserve"> מעלה שלוש</w:t>
      </w:r>
      <w:r>
        <w:rPr>
          <w:rFonts w:hint="cs"/>
          <w:rtl/>
        </w:rPr>
        <w:t>ה</w:t>
      </w:r>
      <w:r>
        <w:rPr>
          <w:rtl/>
        </w:rPr>
        <w:t xml:space="preserve"> טיעונים המתירים לרופאים לבוא במגע עם חולים הסובלים ממחלות </w:t>
      </w:r>
      <w:r>
        <w:rPr>
          <w:rFonts w:hint="cs"/>
          <w:rtl/>
        </w:rPr>
        <w:t>מדבקות</w:t>
      </w:r>
      <w:r>
        <w:rPr>
          <w:rtl/>
        </w:rPr>
        <w:t>:</w:t>
      </w:r>
    </w:p>
    <w:p w14:paraId="3501C300" w14:textId="2D16A9EE" w:rsidR="00F90C07" w:rsidRDefault="00F90C07" w:rsidP="00F90C07">
      <w:pPr>
        <w:rPr>
          <w:rtl/>
        </w:rPr>
      </w:pPr>
      <w:r>
        <w:rPr>
          <w:rtl/>
        </w:rPr>
        <w:t xml:space="preserve">1. ישנם מקורות רבים המלמדים שלרופא </w:t>
      </w:r>
      <w:r>
        <w:rPr>
          <w:rFonts w:hint="cs"/>
          <w:rtl/>
        </w:rPr>
        <w:t>יש היתר</w:t>
      </w:r>
      <w:r w:rsidR="00962442">
        <w:rPr>
          <w:rFonts w:hint="cs"/>
          <w:rtl/>
        </w:rPr>
        <w:t xml:space="preserve"> או אף </w:t>
      </w:r>
      <w:r>
        <w:rPr>
          <w:rFonts w:hint="cs"/>
          <w:rtl/>
        </w:rPr>
        <w:t xml:space="preserve">חיוב </w:t>
      </w:r>
      <w:r>
        <w:rPr>
          <w:rtl/>
        </w:rPr>
        <w:t>לרפא אחרים.</w:t>
      </w:r>
      <w:r>
        <w:rPr>
          <w:rStyle w:val="a7"/>
          <w:rtl/>
        </w:rPr>
        <w:footnoteReference w:id="22"/>
      </w:r>
      <w:r>
        <w:rPr>
          <w:rtl/>
        </w:rPr>
        <w:t xml:space="preserve"> הגמרא</w:t>
      </w:r>
      <w:r>
        <w:rPr>
          <w:rStyle w:val="a7"/>
          <w:rtl/>
        </w:rPr>
        <w:footnoteReference w:id="23"/>
      </w:r>
      <w:r>
        <w:rPr>
          <w:rtl/>
        </w:rPr>
        <w:t xml:space="preserve"> </w:t>
      </w:r>
      <w:r>
        <w:rPr>
          <w:rFonts w:hint="cs"/>
          <w:rtl/>
        </w:rPr>
        <w:t xml:space="preserve">לומדת מדברי </w:t>
      </w:r>
      <w:r>
        <w:rPr>
          <w:rtl/>
        </w:rPr>
        <w:t>התורה "ור</w:t>
      </w:r>
      <w:r>
        <w:rPr>
          <w:rFonts w:hint="cs"/>
          <w:rtl/>
        </w:rPr>
        <w:t>פא</w:t>
      </w:r>
      <w:r>
        <w:rPr>
          <w:rtl/>
        </w:rPr>
        <w:t xml:space="preserve"> </w:t>
      </w:r>
      <w:r>
        <w:rPr>
          <w:rFonts w:hint="cs"/>
          <w:rtl/>
        </w:rPr>
        <w:t>ירפא</w:t>
      </w:r>
      <w:r>
        <w:rPr>
          <w:rtl/>
        </w:rPr>
        <w:t xml:space="preserve">" (שמות </w:t>
      </w:r>
      <w:proofErr w:type="spellStart"/>
      <w:r>
        <w:rPr>
          <w:rtl/>
        </w:rPr>
        <w:t>כא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יט</w:t>
      </w:r>
      <w:proofErr w:type="spellEnd"/>
      <w:r>
        <w:rPr>
          <w:rtl/>
        </w:rPr>
        <w:t xml:space="preserve">) שמותר לרופאים לרפא חולים. </w:t>
      </w:r>
      <w:r>
        <w:rPr>
          <w:rFonts w:hint="cs"/>
          <w:rtl/>
        </w:rPr>
        <w:t>ייתכן שפסוק זה משמש</w:t>
      </w:r>
      <w:r>
        <w:rPr>
          <w:rtl/>
        </w:rPr>
        <w:t xml:space="preserve"> גם כציווי. הרב </w:t>
      </w:r>
      <w:proofErr w:type="spellStart"/>
      <w:r>
        <w:rPr>
          <w:rtl/>
        </w:rPr>
        <w:t>ולדנברג</w:t>
      </w:r>
      <w:proofErr w:type="spellEnd"/>
      <w:r>
        <w:rPr>
          <w:rtl/>
        </w:rPr>
        <w:t xml:space="preserve"> מציע </w:t>
      </w:r>
      <w:r>
        <w:rPr>
          <w:rFonts w:hint="cs"/>
          <w:rtl/>
        </w:rPr>
        <w:t>ש</w:t>
      </w:r>
      <w:r>
        <w:rPr>
          <w:rtl/>
        </w:rPr>
        <w:t>ה</w:t>
      </w:r>
      <w:r w:rsidR="00F77570">
        <w:rPr>
          <w:rFonts w:hint="cs"/>
          <w:rtl/>
        </w:rPr>
        <w:t>כפילות בפסוק נועדה כדי</w:t>
      </w:r>
      <w:r>
        <w:rPr>
          <w:rtl/>
        </w:rPr>
        <w:t xml:space="preserve"> </w:t>
      </w:r>
      <w:r>
        <w:rPr>
          <w:rFonts w:hint="cs"/>
          <w:rtl/>
        </w:rPr>
        <w:t xml:space="preserve">להרחיב </w:t>
      </w:r>
      <w:r>
        <w:rPr>
          <w:rtl/>
        </w:rPr>
        <w:t>את הה</w:t>
      </w:r>
      <w:r>
        <w:rPr>
          <w:rFonts w:hint="cs"/>
          <w:rtl/>
        </w:rPr>
        <w:t>ית</w:t>
      </w:r>
      <w:r>
        <w:rPr>
          <w:rtl/>
        </w:rPr>
        <w:t>ר</w:t>
      </w:r>
      <w:r w:rsidR="00F77570">
        <w:rPr>
          <w:rFonts w:hint="cs"/>
          <w:rtl/>
        </w:rPr>
        <w:t>,</w:t>
      </w:r>
      <w:r>
        <w:rPr>
          <w:rtl/>
        </w:rPr>
        <w:t xml:space="preserve"> לרפא גם </w:t>
      </w:r>
      <w:r>
        <w:rPr>
          <w:rFonts w:hint="cs"/>
          <w:rtl/>
        </w:rPr>
        <w:t xml:space="preserve">חולה במחלה </w:t>
      </w:r>
      <w:r>
        <w:rPr>
          <w:rtl/>
        </w:rPr>
        <w:t>מדבק</w:t>
      </w:r>
      <w:r>
        <w:rPr>
          <w:rFonts w:hint="cs"/>
          <w:rtl/>
        </w:rPr>
        <w:t>ת</w:t>
      </w:r>
      <w:r w:rsidR="00F77570">
        <w:rPr>
          <w:rFonts w:hint="cs"/>
          <w:rtl/>
        </w:rPr>
        <w:t>.</w:t>
      </w:r>
    </w:p>
    <w:p w14:paraId="1FA2B4D0" w14:textId="0764DCF3" w:rsidR="00F90C07" w:rsidRDefault="00F90C07" w:rsidP="00F90C07">
      <w:pPr>
        <w:rPr>
          <w:rtl/>
        </w:rPr>
      </w:pPr>
      <w:r>
        <w:rPr>
          <w:rtl/>
        </w:rPr>
        <w:t xml:space="preserve">2. </w:t>
      </w:r>
      <w:r w:rsidR="00F77570">
        <w:rPr>
          <w:rFonts w:hint="cs"/>
          <w:rtl/>
        </w:rPr>
        <w:t>מדובר ב</w:t>
      </w:r>
      <w:r>
        <w:rPr>
          <w:rtl/>
        </w:rPr>
        <w:t>"</w:t>
      </w:r>
      <w:r>
        <w:rPr>
          <w:rFonts w:hint="cs"/>
          <w:rtl/>
        </w:rPr>
        <w:t>מנהגו של עולם</w:t>
      </w:r>
      <w:r>
        <w:rPr>
          <w:rtl/>
        </w:rPr>
        <w:t>". העולם לא י</w:t>
      </w:r>
      <w:r>
        <w:rPr>
          <w:rFonts w:hint="cs"/>
          <w:rtl/>
        </w:rPr>
        <w:t>וכ</w:t>
      </w:r>
      <w:r>
        <w:rPr>
          <w:rtl/>
        </w:rPr>
        <w:t>ל לשרוד אם רופאים יימנעו מטיפול בחולים מסוימים.</w:t>
      </w:r>
    </w:p>
    <w:p w14:paraId="3FFF52EC" w14:textId="1004473F" w:rsidR="00F90C07" w:rsidRDefault="00F90C07" w:rsidP="00F90C07">
      <w:pPr>
        <w:rPr>
          <w:rtl/>
        </w:rPr>
      </w:pPr>
      <w:r>
        <w:rPr>
          <w:rtl/>
        </w:rPr>
        <w:t>3. התורה מתירה</w:t>
      </w:r>
      <w:r w:rsidR="00F77570">
        <w:rPr>
          <w:rFonts w:hint="cs"/>
          <w:rtl/>
        </w:rPr>
        <w:t xml:space="preserve"> </w:t>
      </w:r>
      <w:r>
        <w:rPr>
          <w:rtl/>
        </w:rPr>
        <w:t xml:space="preserve">לעסוק בפעילות </w:t>
      </w:r>
      <w:r>
        <w:rPr>
          <w:rFonts w:hint="cs"/>
          <w:rtl/>
        </w:rPr>
        <w:t xml:space="preserve">הכרוכה </w:t>
      </w:r>
      <w:r>
        <w:rPr>
          <w:rtl/>
        </w:rPr>
        <w:t>בסיכון גבוה</w:t>
      </w:r>
      <w:r w:rsidR="00F77570">
        <w:rPr>
          <w:rFonts w:hint="cs"/>
          <w:rtl/>
        </w:rPr>
        <w:t xml:space="preserve"> </w:t>
      </w:r>
      <w:r w:rsidR="00F77570">
        <w:rPr>
          <w:rtl/>
        </w:rPr>
        <w:t>לצרכי פרנסה</w:t>
      </w:r>
      <w:r>
        <w:rPr>
          <w:rtl/>
        </w:rPr>
        <w:t>. ה</w:t>
      </w:r>
      <w:r>
        <w:rPr>
          <w:rFonts w:hint="cs"/>
          <w:rtl/>
        </w:rPr>
        <w:t>ית</w:t>
      </w:r>
      <w:r>
        <w:rPr>
          <w:rtl/>
        </w:rPr>
        <w:t>ר זה חל על רופאים.</w:t>
      </w:r>
    </w:p>
    <w:p w14:paraId="297BB58E" w14:textId="70FBFF69" w:rsidR="00F77570" w:rsidRDefault="00F90C07" w:rsidP="00867F02">
      <w:pPr>
        <w:rPr>
          <w:rtl/>
        </w:rPr>
      </w:pPr>
      <w:r>
        <w:rPr>
          <w:rtl/>
        </w:rPr>
        <w:t xml:space="preserve">הרב </w:t>
      </w:r>
      <w:proofErr w:type="spellStart"/>
      <w:r>
        <w:rPr>
          <w:rtl/>
        </w:rPr>
        <w:t>ולדנברג</w:t>
      </w:r>
      <w:proofErr w:type="spellEnd"/>
      <w:r>
        <w:rPr>
          <w:rtl/>
        </w:rPr>
        <w:t xml:space="preserve"> מוסיף כי רופאים המסכנים את חייהם </w:t>
      </w:r>
      <w:r>
        <w:rPr>
          <w:rFonts w:hint="cs"/>
          <w:rtl/>
        </w:rPr>
        <w:t xml:space="preserve">צריכים </w:t>
      </w:r>
      <w:r>
        <w:rPr>
          <w:rtl/>
        </w:rPr>
        <w:t>לה</w:t>
      </w:r>
      <w:r w:rsidR="00255FBB">
        <w:rPr>
          <w:rFonts w:hint="cs"/>
          <w:rtl/>
        </w:rPr>
        <w:t>תפלל</w:t>
      </w:r>
      <w:r>
        <w:rPr>
          <w:rtl/>
        </w:rPr>
        <w:t xml:space="preserve"> ולבקש סליחה </w:t>
      </w:r>
      <w:r>
        <w:rPr>
          <w:rFonts w:hint="cs"/>
          <w:rtl/>
        </w:rPr>
        <w:t>מ</w:t>
      </w:r>
      <w:r w:rsidR="00F77570">
        <w:rPr>
          <w:rFonts w:hint="cs"/>
          <w:rtl/>
        </w:rPr>
        <w:t>הקב"ה</w:t>
      </w:r>
      <w:r>
        <w:rPr>
          <w:rtl/>
        </w:rPr>
        <w:t xml:space="preserve"> על כך </w:t>
      </w:r>
      <w:r>
        <w:rPr>
          <w:rFonts w:hint="cs"/>
          <w:rtl/>
        </w:rPr>
        <w:t>שהכניסו</w:t>
      </w:r>
      <w:r>
        <w:rPr>
          <w:rtl/>
        </w:rPr>
        <w:t xml:space="preserve"> את עצמם </w:t>
      </w:r>
      <w:r>
        <w:rPr>
          <w:rFonts w:hint="cs"/>
          <w:rtl/>
        </w:rPr>
        <w:t>ל</w:t>
      </w:r>
      <w:r>
        <w:rPr>
          <w:rtl/>
        </w:rPr>
        <w:t>סכנה.</w:t>
      </w:r>
    </w:p>
    <w:tbl>
      <w:tblPr>
        <w:tblpPr w:leftFromText="180" w:rightFromText="180" w:vertAnchor="text" w:horzAnchor="margin" w:tblpY="1133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D37F7A" w:rsidRPr="006A6545" w14:paraId="539031FC" w14:textId="77777777" w:rsidTr="00D37F7A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D047" w14:textId="77777777" w:rsidR="00D37F7A" w:rsidRPr="006A6545" w:rsidRDefault="00D37F7A" w:rsidP="00D37F7A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75F11738" w14:textId="77777777" w:rsidR="00D37F7A" w:rsidRPr="006A6545" w:rsidRDefault="00D37F7A" w:rsidP="00D37F7A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3D14C0F8" w14:textId="77777777" w:rsidR="00D37F7A" w:rsidRPr="006A6545" w:rsidRDefault="00D37F7A" w:rsidP="00D37F7A">
            <w:pPr>
              <w:pStyle w:val="ab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CD39" w14:textId="77777777" w:rsidR="00D37F7A" w:rsidRPr="006A6545" w:rsidRDefault="00D37F7A" w:rsidP="00D37F7A">
            <w:pPr>
              <w:pStyle w:val="ab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713CE975" w14:textId="77777777" w:rsidR="00D37F7A" w:rsidRPr="006A6545" w:rsidRDefault="00D37F7A" w:rsidP="00D37F7A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48D520F8" w14:textId="77777777" w:rsidR="00D37F7A" w:rsidRPr="006A6545" w:rsidRDefault="00D37F7A" w:rsidP="00D37F7A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335EA07D" w14:textId="77777777" w:rsidR="00D37F7A" w:rsidRPr="006A6545" w:rsidRDefault="00D37F7A" w:rsidP="00D37F7A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503F9F72" w14:textId="77777777" w:rsidR="00D37F7A" w:rsidRPr="006A6545" w:rsidRDefault="00D37F7A" w:rsidP="00D37F7A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33D4AF8F" w14:textId="77777777" w:rsidR="00D37F7A" w:rsidRPr="006A6545" w:rsidRDefault="00D37F7A" w:rsidP="00D37F7A">
            <w:pPr>
              <w:pStyle w:val="ab"/>
            </w:pPr>
            <w:r w:rsidRPr="006A6545">
              <w:t>The Israel Koschitzky Virtual Beit Midrash</w:t>
            </w:r>
          </w:p>
          <w:p w14:paraId="015FBDF2" w14:textId="77777777" w:rsidR="00D37F7A" w:rsidRPr="006A6545" w:rsidRDefault="00D37F7A" w:rsidP="00D37F7A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51069AD8" w14:textId="77777777" w:rsidR="00D37F7A" w:rsidRPr="006A6545" w:rsidRDefault="00D37F7A" w:rsidP="00D37F7A">
            <w:pPr>
              <w:pStyle w:val="ab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056F3793" w14:textId="77777777" w:rsidR="00D37F7A" w:rsidRPr="006A6545" w:rsidRDefault="00D37F7A" w:rsidP="00D37F7A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16B3BEF2" w14:textId="77777777" w:rsidR="00D37F7A" w:rsidRPr="006A6545" w:rsidRDefault="00D37F7A" w:rsidP="00D37F7A">
            <w:pPr>
              <w:pStyle w:val="ab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08B11AC4" w14:textId="77777777" w:rsidR="00D37F7A" w:rsidRPr="006A6545" w:rsidRDefault="00D37F7A" w:rsidP="00D37F7A">
            <w:pPr>
              <w:pStyle w:val="ab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844F" w14:textId="77777777" w:rsidR="00D37F7A" w:rsidRPr="006A6545" w:rsidRDefault="00D37F7A" w:rsidP="00D37F7A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314C7988" w14:textId="77777777" w:rsidR="00D37F7A" w:rsidRPr="006A6545" w:rsidRDefault="00D37F7A" w:rsidP="00D37F7A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5DDF1E09" w14:textId="77777777" w:rsidR="00D37F7A" w:rsidRPr="006A6545" w:rsidRDefault="00D37F7A" w:rsidP="00D37F7A">
            <w:pPr>
              <w:pStyle w:val="ab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D37F7A" w:rsidRPr="006A6545" w14:paraId="1DDA88DE" w14:textId="77777777" w:rsidTr="00D37F7A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6DE8" w14:textId="77777777" w:rsidR="00D37F7A" w:rsidRPr="006A6545" w:rsidRDefault="00D37F7A" w:rsidP="00D37F7A">
            <w:pPr>
              <w:pStyle w:val="ab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4390" w14:textId="77777777" w:rsidR="00D37F7A" w:rsidRPr="006A6545" w:rsidRDefault="00D37F7A" w:rsidP="00D37F7A">
            <w:pPr>
              <w:pStyle w:val="ab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9C77" w14:textId="77777777" w:rsidR="00D37F7A" w:rsidRPr="006A6545" w:rsidRDefault="00D37F7A" w:rsidP="00D37F7A">
            <w:pPr>
              <w:pStyle w:val="ab"/>
              <w:rPr>
                <w:rtl/>
              </w:rPr>
            </w:pPr>
          </w:p>
          <w:p w14:paraId="3D2A6110" w14:textId="77777777" w:rsidR="00D37F7A" w:rsidRPr="006A6545" w:rsidRDefault="00D37F7A" w:rsidP="00D37F7A">
            <w:pPr>
              <w:pStyle w:val="ab"/>
              <w:rPr>
                <w:rtl/>
              </w:rPr>
            </w:pPr>
          </w:p>
        </w:tc>
      </w:tr>
    </w:tbl>
    <w:p w14:paraId="69DCDE24" w14:textId="067CF59B" w:rsidR="008B0EFF" w:rsidRDefault="00D37F7A" w:rsidP="008B0EFF">
      <w:pPr>
        <w:rPr>
          <w:rtl/>
        </w:rPr>
      </w:pPr>
      <w:r>
        <w:rPr>
          <w:rFonts w:hint="cs"/>
          <w:rtl/>
        </w:rPr>
        <w:t>ב</w:t>
      </w:r>
      <w:r w:rsidR="00F77570">
        <w:rPr>
          <w:rFonts w:hint="cs"/>
          <w:rtl/>
        </w:rPr>
        <w:t>תפילה שה' ירחם על עמו ועל העולם כולו, ושנזכה לבריאות איתנה תמיד.</w:t>
      </w:r>
    </w:p>
    <w:p w14:paraId="61B26B43" w14:textId="77777777" w:rsidR="008B0EFF" w:rsidRPr="008D0C8E" w:rsidRDefault="008B0EFF" w:rsidP="008B0EFF"/>
    <w:sectPr w:rsidR="008B0EFF" w:rsidRPr="008D0C8E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04AA" w14:textId="77777777" w:rsidR="00671B4B" w:rsidRDefault="00671B4B">
      <w:r>
        <w:separator/>
      </w:r>
    </w:p>
  </w:endnote>
  <w:endnote w:type="continuationSeparator" w:id="0">
    <w:p w14:paraId="3670BB83" w14:textId="77777777" w:rsidR="00671B4B" w:rsidRDefault="0067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DDBA" w14:textId="77777777" w:rsidR="00671B4B" w:rsidRDefault="00671B4B">
      <w:r>
        <w:separator/>
      </w:r>
    </w:p>
  </w:footnote>
  <w:footnote w:type="continuationSeparator" w:id="0">
    <w:p w14:paraId="46E97BB7" w14:textId="77777777" w:rsidR="00671B4B" w:rsidRDefault="00671B4B">
      <w:r>
        <w:continuationSeparator/>
      </w:r>
    </w:p>
  </w:footnote>
  <w:footnote w:id="1">
    <w:p w14:paraId="33BADE81" w14:textId="3E63D1C9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ראו שלמה </w:t>
      </w:r>
      <w:proofErr w:type="spellStart"/>
      <w:r w:rsidRPr="0088768F">
        <w:rPr>
          <w:rFonts w:ascii="Narkisim" w:hAnsi="Narkisim"/>
          <w:rtl/>
        </w:rPr>
        <w:t>איידלברג</w:t>
      </w:r>
      <w:proofErr w:type="spellEnd"/>
      <w:r w:rsidRPr="0088768F">
        <w:rPr>
          <w:rFonts w:ascii="Narkisim" w:hAnsi="Narkisim"/>
          <w:rtl/>
        </w:rPr>
        <w:t>, בנתיבי אשכנז (ניו יורק, 2001), עמ' 75</w:t>
      </w:r>
      <w:r w:rsidR="0088768F">
        <w:rPr>
          <w:rtl/>
        </w:rPr>
        <w:t>–</w:t>
      </w:r>
      <w:r w:rsidRPr="0088768F">
        <w:rPr>
          <w:rFonts w:ascii="Narkisim" w:hAnsi="Narkisim"/>
          <w:rtl/>
        </w:rPr>
        <w:t xml:space="preserve">77. </w:t>
      </w:r>
      <w:proofErr w:type="spellStart"/>
      <w:r w:rsidRPr="0088768F">
        <w:rPr>
          <w:rFonts w:ascii="Narkisim" w:hAnsi="Narkisim"/>
          <w:rtl/>
        </w:rPr>
        <w:t>איידלברג</w:t>
      </w:r>
      <w:proofErr w:type="spellEnd"/>
      <w:r w:rsidRPr="0088768F">
        <w:rPr>
          <w:rFonts w:ascii="Narkisim" w:hAnsi="Narkisim"/>
          <w:rtl/>
        </w:rPr>
        <w:t xml:space="preserve"> מצטט גם דעות החולקות על ה</w:t>
      </w:r>
      <w:r w:rsidR="0088768F">
        <w:rPr>
          <w:rFonts w:ascii="Narkisim" w:hAnsi="Narkisim" w:hint="cs"/>
          <w:rtl/>
        </w:rPr>
        <w:t>תי</w:t>
      </w:r>
      <w:r w:rsidRPr="0088768F">
        <w:rPr>
          <w:rFonts w:ascii="Narkisim" w:hAnsi="Narkisim"/>
          <w:rtl/>
        </w:rPr>
        <w:t>אוריה הזו.</w:t>
      </w:r>
    </w:p>
  </w:footnote>
  <w:footnote w:id="2">
    <w:p w14:paraId="22F6C7AB" w14:textId="1E786637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 xml:space="preserve">ראו מרדכי </w:t>
      </w:r>
      <w:proofErr w:type="spellStart"/>
      <w:r w:rsidRPr="0088768F">
        <w:rPr>
          <w:rFonts w:ascii="Narkisim" w:hAnsi="Narkisim"/>
          <w:rtl/>
        </w:rPr>
        <w:t>ברויאר</w:t>
      </w:r>
      <w:proofErr w:type="spellEnd"/>
      <w:r w:rsidRPr="0088768F">
        <w:rPr>
          <w:rFonts w:ascii="Narkisim" w:hAnsi="Narkisim"/>
          <w:rtl/>
        </w:rPr>
        <w:t xml:space="preserve">, "'המוות השחור' ושנאת ישראל", </w:t>
      </w:r>
      <w:r w:rsidRPr="008B0EFF">
        <w:rPr>
          <w:rFonts w:ascii="Narkisim" w:hAnsi="Narkisim"/>
          <w:b/>
          <w:bCs/>
          <w:rtl/>
        </w:rPr>
        <w:t>שנאת ישראל לדורותיה</w:t>
      </w:r>
      <w:r w:rsidRPr="0088768F">
        <w:rPr>
          <w:rFonts w:ascii="Narkisim" w:hAnsi="Narkisim"/>
          <w:rtl/>
        </w:rPr>
        <w:t>, מרכז זלמן שזר, עמ' 159</w:t>
      </w:r>
      <w:r w:rsidR="0088768F">
        <w:rPr>
          <w:rtl/>
        </w:rPr>
        <w:t>–</w:t>
      </w:r>
      <w:r w:rsidRPr="0088768F">
        <w:rPr>
          <w:rFonts w:ascii="Narkisim" w:hAnsi="Narkisim"/>
          <w:rtl/>
        </w:rPr>
        <w:t>172.</w:t>
      </w:r>
    </w:p>
  </w:footnote>
  <w:footnote w:id="3">
    <w:p w14:paraId="7056A590" w14:textId="6CE42EBD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 xml:space="preserve">רבי יעקב הלוי בן משה </w:t>
      </w:r>
      <w:proofErr w:type="spellStart"/>
      <w:r w:rsidRPr="0088768F">
        <w:rPr>
          <w:rFonts w:ascii="Narkisim" w:hAnsi="Narkisim"/>
          <w:rtl/>
        </w:rPr>
        <w:t>מולין</w:t>
      </w:r>
      <w:proofErr w:type="spellEnd"/>
      <w:r w:rsidRPr="0088768F">
        <w:rPr>
          <w:rFonts w:ascii="Narkisim" w:hAnsi="Narkisim"/>
          <w:rtl/>
        </w:rPr>
        <w:t>, 1365</w:t>
      </w:r>
      <w:r w:rsidR="0088768F">
        <w:rPr>
          <w:rtl/>
        </w:rPr>
        <w:t>–</w:t>
      </w:r>
      <w:r w:rsidRPr="0088768F">
        <w:rPr>
          <w:rFonts w:ascii="Narkisim" w:hAnsi="Narkisim"/>
          <w:rtl/>
        </w:rPr>
        <w:t>1427 בערך.</w:t>
      </w:r>
    </w:p>
  </w:footnote>
  <w:footnote w:id="4">
    <w:p w14:paraId="471A793A" w14:textId="14493134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 xml:space="preserve">ראו ידידיה אלטר </w:t>
      </w:r>
      <w:proofErr w:type="spellStart"/>
      <w:r w:rsidRPr="00D37F7A">
        <w:rPr>
          <w:rFonts w:ascii="Narkisim" w:hAnsi="Narkisim"/>
          <w:rtl/>
        </w:rPr>
        <w:t>דינרי</w:t>
      </w:r>
      <w:proofErr w:type="spellEnd"/>
      <w:r w:rsidRPr="00D37F7A">
        <w:rPr>
          <w:rFonts w:ascii="Narkisim" w:hAnsi="Narkisim"/>
          <w:rtl/>
        </w:rPr>
        <w:t xml:space="preserve">, חכמי אשכנז בשלהי </w:t>
      </w:r>
      <w:proofErr w:type="spellStart"/>
      <w:r w:rsidRPr="00D37F7A">
        <w:rPr>
          <w:rFonts w:ascii="Narkisim" w:hAnsi="Narkisim"/>
          <w:rtl/>
        </w:rPr>
        <w:t>ימי</w:t>
      </w:r>
      <w:r w:rsidR="0088768F" w:rsidRPr="00D37F7A">
        <w:rPr>
          <w:rFonts w:ascii="Narkisim" w:hAnsi="Narkisim" w:hint="cs"/>
          <w:rtl/>
        </w:rPr>
        <w:t>־</w:t>
      </w:r>
      <w:r w:rsidRPr="00D37F7A">
        <w:rPr>
          <w:rFonts w:ascii="Narkisim" w:hAnsi="Narkisim"/>
          <w:rtl/>
        </w:rPr>
        <w:t>הביניים</w:t>
      </w:r>
      <w:proofErr w:type="spellEnd"/>
      <w:r w:rsidRPr="00D37F7A">
        <w:rPr>
          <w:rFonts w:ascii="Narkisim" w:hAnsi="Narkisim"/>
          <w:rtl/>
        </w:rPr>
        <w:t>, עמ'</w:t>
      </w:r>
      <w:r w:rsidRPr="0088768F">
        <w:rPr>
          <w:rFonts w:ascii="Narkisim" w:hAnsi="Narkisim"/>
          <w:rtl/>
        </w:rPr>
        <w:t xml:space="preserve"> 74</w:t>
      </w:r>
      <w:r w:rsidR="0088768F">
        <w:rPr>
          <w:rtl/>
        </w:rPr>
        <w:t>–</w:t>
      </w:r>
      <w:r w:rsidRPr="0088768F">
        <w:rPr>
          <w:rFonts w:ascii="Narkisim" w:hAnsi="Narkisim"/>
          <w:rtl/>
        </w:rPr>
        <w:t>118, שמוכיח שדור הפוסקים שאחרי המוות השחור היו מקוריים ויצירתיים בסגנון הפסיקה שלהם.</w:t>
      </w:r>
    </w:p>
  </w:footnote>
  <w:footnote w:id="5">
    <w:p w14:paraId="5DA97FE8" w14:textId="25800F27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>ברכות לב ע</w:t>
      </w:r>
      <w:r w:rsidR="0088768F">
        <w:rPr>
          <w:rFonts w:ascii="Narkisim" w:hAnsi="Narkisim" w:hint="cs"/>
          <w:rtl/>
        </w:rPr>
        <w:t>"</w:t>
      </w:r>
      <w:r w:rsidRPr="0088768F">
        <w:rPr>
          <w:rFonts w:ascii="Narkisim" w:hAnsi="Narkisim"/>
          <w:rtl/>
        </w:rPr>
        <w:t>ב.</w:t>
      </w:r>
    </w:p>
  </w:footnote>
  <w:footnote w:id="6">
    <w:p w14:paraId="4A9CDF51" w14:textId="66907796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 xml:space="preserve">שו"ת </w:t>
      </w:r>
      <w:proofErr w:type="spellStart"/>
      <w:r w:rsidRPr="0088768F">
        <w:rPr>
          <w:rFonts w:ascii="Narkisim" w:hAnsi="Narkisim"/>
          <w:rtl/>
        </w:rPr>
        <w:t>רדב"ז</w:t>
      </w:r>
      <w:proofErr w:type="spellEnd"/>
      <w:r w:rsidRPr="0088768F">
        <w:rPr>
          <w:rFonts w:ascii="Narkisim" w:hAnsi="Narkisim"/>
          <w:rtl/>
        </w:rPr>
        <w:t xml:space="preserve"> ג</w:t>
      </w:r>
      <w:r w:rsidR="0088768F">
        <w:rPr>
          <w:rFonts w:ascii="Narkisim" w:hAnsi="Narkisim" w:hint="cs"/>
          <w:rtl/>
        </w:rPr>
        <w:t xml:space="preserve">, </w:t>
      </w:r>
      <w:r w:rsidRPr="0088768F">
        <w:rPr>
          <w:rFonts w:ascii="Narkisim" w:hAnsi="Narkisim"/>
          <w:rtl/>
        </w:rPr>
        <w:t>תרכז.</w:t>
      </w:r>
    </w:p>
  </w:footnote>
  <w:footnote w:id="7">
    <w:p w14:paraId="7F2FFFD0" w14:textId="77777777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>ראו חלקת יעקב, חושן משפט לא.</w:t>
      </w:r>
    </w:p>
  </w:footnote>
  <w:footnote w:id="8">
    <w:p w14:paraId="6F75C326" w14:textId="77777777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 xml:space="preserve">ראו נודע ביהודה, מהדורה </w:t>
      </w:r>
      <w:proofErr w:type="spellStart"/>
      <w:r w:rsidRPr="0088768F">
        <w:rPr>
          <w:rFonts w:ascii="Narkisim" w:hAnsi="Narkisim"/>
          <w:rtl/>
        </w:rPr>
        <w:t>תניינא</w:t>
      </w:r>
      <w:proofErr w:type="spellEnd"/>
      <w:r w:rsidRPr="0088768F">
        <w:rPr>
          <w:rFonts w:ascii="Narkisim" w:hAnsi="Narkisim"/>
          <w:rtl/>
        </w:rPr>
        <w:t>, יורה דעה י.</w:t>
      </w:r>
    </w:p>
  </w:footnote>
  <w:footnote w:id="9">
    <w:p w14:paraId="13CC7AEC" w14:textId="24F5A309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  <w:rtl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>ראו</w:t>
      </w:r>
      <w:r w:rsidR="00847B3F" w:rsidRPr="0088768F">
        <w:rPr>
          <w:rFonts w:ascii="Narkisim" w:hAnsi="Narkisim"/>
          <w:rtl/>
        </w:rPr>
        <w:t>:</w:t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</w:rPr>
        <w:t xml:space="preserve">Chief Rabbi of the Commonwealth Immanuel </w:t>
      </w:r>
      <w:proofErr w:type="spellStart"/>
      <w:r w:rsidRPr="0088768F">
        <w:rPr>
          <w:rFonts w:ascii="Narkisim" w:hAnsi="Narkisim"/>
        </w:rPr>
        <w:t>Jakobovits</w:t>
      </w:r>
      <w:proofErr w:type="spellEnd"/>
      <w:r w:rsidRPr="0088768F">
        <w:rPr>
          <w:rFonts w:ascii="Narkisim" w:hAnsi="Narkisim"/>
        </w:rPr>
        <w:t xml:space="preserve">, </w:t>
      </w:r>
      <w:r w:rsidRPr="008B0EFF">
        <w:rPr>
          <w:rFonts w:ascii="Narkisim" w:hAnsi="Narkisim"/>
          <w:i/>
          <w:iCs/>
        </w:rPr>
        <w:t>Jewish Medical Ethics</w:t>
      </w:r>
      <w:r w:rsidRPr="0088768F">
        <w:rPr>
          <w:rFonts w:ascii="Narkisim" w:hAnsi="Narkisim"/>
          <w:rtl/>
        </w:rPr>
        <w:t>.</w:t>
      </w:r>
    </w:p>
  </w:footnote>
  <w:footnote w:id="10">
    <w:p w14:paraId="295DB5DF" w14:textId="5FB54642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 xml:space="preserve">שו"ת </w:t>
      </w:r>
      <w:proofErr w:type="spellStart"/>
      <w:r w:rsidRPr="0088768F">
        <w:rPr>
          <w:rFonts w:ascii="Narkisim" w:hAnsi="Narkisim"/>
          <w:rtl/>
        </w:rPr>
        <w:t>הרמ"</w:t>
      </w:r>
      <w:r w:rsidR="00255FBB" w:rsidRPr="0088768F">
        <w:rPr>
          <w:rFonts w:ascii="Narkisim" w:hAnsi="Narkisim"/>
          <w:rtl/>
        </w:rPr>
        <w:t>א</w:t>
      </w:r>
      <w:proofErr w:type="spellEnd"/>
      <w:r w:rsidR="00255FBB" w:rsidRPr="0088768F">
        <w:rPr>
          <w:rFonts w:ascii="Narkisim" w:hAnsi="Narkisim"/>
          <w:rtl/>
        </w:rPr>
        <w:t xml:space="preserve">, </w:t>
      </w:r>
      <w:r w:rsidRPr="0088768F">
        <w:rPr>
          <w:rFonts w:ascii="Narkisim" w:hAnsi="Narkisim"/>
          <w:rtl/>
        </w:rPr>
        <w:t>כ.</w:t>
      </w:r>
    </w:p>
  </w:footnote>
  <w:footnote w:id="11">
    <w:p w14:paraId="0B16FC6A" w14:textId="05B74731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 xml:space="preserve">ראו הרב יהושע </w:t>
      </w:r>
      <w:proofErr w:type="spellStart"/>
      <w:r w:rsidRPr="00D37F7A">
        <w:rPr>
          <w:rFonts w:ascii="Narkisim" w:hAnsi="Narkisim"/>
          <w:rtl/>
        </w:rPr>
        <w:t>וייסינגר</w:t>
      </w:r>
      <w:proofErr w:type="spellEnd"/>
      <w:r w:rsidRPr="00D37F7A">
        <w:rPr>
          <w:rFonts w:ascii="Narkisim" w:hAnsi="Narkisim"/>
          <w:rtl/>
        </w:rPr>
        <w:t>,</w:t>
      </w:r>
      <w:r w:rsidR="00D37F7A">
        <w:rPr>
          <w:rFonts w:ascii="Narkisim" w:hAnsi="Narkisim" w:hint="cs"/>
          <w:rtl/>
        </w:rPr>
        <w:t xml:space="preserve"> </w:t>
      </w:r>
      <w:r w:rsidR="00D37F7A" w:rsidRPr="00D37F7A">
        <w:rPr>
          <w:rFonts w:ascii="Narkisim" w:hAnsi="Narkisim"/>
          <w:rtl/>
        </w:rPr>
        <w:t xml:space="preserve">"מחלת </w:t>
      </w:r>
      <w:proofErr w:type="spellStart"/>
      <w:r w:rsidR="00D37F7A" w:rsidRPr="00D37F7A">
        <w:rPr>
          <w:rFonts w:ascii="Narkisim" w:hAnsi="Narkisim"/>
          <w:rtl/>
        </w:rPr>
        <w:t>האבולה</w:t>
      </w:r>
      <w:proofErr w:type="spellEnd"/>
      <w:r w:rsidR="00D37F7A" w:rsidRPr="00D37F7A">
        <w:rPr>
          <w:rFonts w:ascii="Narkisim" w:hAnsi="Narkisim"/>
          <w:rtl/>
        </w:rPr>
        <w:t xml:space="preserve"> וביקור חולים ביקור חולים במחלות מדבקות מסוכנות – היבטים הלכתיים, אתיים ורפואיים"</w:t>
      </w:r>
      <w:r w:rsidR="00D37F7A">
        <w:rPr>
          <w:rFonts w:ascii="Narkisim" w:hAnsi="Narkisim" w:hint="cs"/>
          <w:rtl/>
        </w:rPr>
        <w:t>,</w:t>
      </w:r>
      <w:r w:rsidRPr="00D37F7A">
        <w:rPr>
          <w:rFonts w:ascii="Narkisim" w:hAnsi="Narkisim"/>
          <w:rtl/>
        </w:rPr>
        <w:t xml:space="preserve"> </w:t>
      </w:r>
      <w:proofErr w:type="spellStart"/>
      <w:r w:rsidRPr="00D37F7A">
        <w:rPr>
          <w:rFonts w:ascii="Narkisim" w:hAnsi="Narkisim"/>
          <w:b/>
          <w:bCs/>
          <w:rtl/>
        </w:rPr>
        <w:t>אסיא</w:t>
      </w:r>
      <w:proofErr w:type="spellEnd"/>
      <w:r w:rsidR="008B0EFF" w:rsidRPr="00D37F7A">
        <w:rPr>
          <w:rFonts w:ascii="Narkisim" w:hAnsi="Narkisim" w:hint="cs"/>
          <w:b/>
          <w:bCs/>
          <w:rtl/>
        </w:rPr>
        <w:t xml:space="preserve"> </w:t>
      </w:r>
      <w:proofErr w:type="spellStart"/>
      <w:r w:rsidRPr="00D37F7A">
        <w:rPr>
          <w:rFonts w:ascii="Narkisim" w:hAnsi="Narkisim"/>
          <w:b/>
          <w:bCs/>
          <w:rtl/>
        </w:rPr>
        <w:t>קג</w:t>
      </w:r>
      <w:proofErr w:type="spellEnd"/>
      <w:r w:rsidR="00255FBB" w:rsidRPr="00D37F7A">
        <w:rPr>
          <w:rFonts w:ascii="Narkisim" w:hAnsi="Narkisim"/>
          <w:b/>
          <w:bCs/>
          <w:rtl/>
        </w:rPr>
        <w:t>–</w:t>
      </w:r>
      <w:r w:rsidRPr="00D37F7A">
        <w:rPr>
          <w:rFonts w:ascii="Narkisim" w:hAnsi="Narkisim"/>
          <w:b/>
          <w:bCs/>
          <w:rtl/>
        </w:rPr>
        <w:t xml:space="preserve">קד </w:t>
      </w:r>
      <w:r w:rsidRPr="00D37F7A">
        <w:rPr>
          <w:rFonts w:ascii="Narkisim" w:hAnsi="Narkisim"/>
          <w:rtl/>
        </w:rPr>
        <w:t>(</w:t>
      </w:r>
      <w:r w:rsidRPr="0088768F">
        <w:rPr>
          <w:rFonts w:ascii="Narkisim" w:hAnsi="Narkisim"/>
          <w:rtl/>
        </w:rPr>
        <w:t>תשע"</w:t>
      </w:r>
      <w:r w:rsidR="00D37F7A">
        <w:rPr>
          <w:rFonts w:ascii="Narkisim" w:hAnsi="Narkisim" w:hint="cs"/>
          <w:rtl/>
        </w:rPr>
        <w:t>ז</w:t>
      </w:r>
      <w:r w:rsidRPr="0088768F">
        <w:rPr>
          <w:rFonts w:ascii="Narkisim" w:hAnsi="Narkisim"/>
          <w:rtl/>
        </w:rPr>
        <w:t>), עמ' 42</w:t>
      </w:r>
      <w:r w:rsidR="00255FBB" w:rsidRPr="0088768F">
        <w:rPr>
          <w:rFonts w:ascii="Narkisim" w:hAnsi="Narkisim"/>
          <w:rtl/>
        </w:rPr>
        <w:t>–</w:t>
      </w:r>
      <w:r w:rsidRPr="0088768F">
        <w:rPr>
          <w:rFonts w:ascii="Narkisim" w:hAnsi="Narkisim"/>
          <w:rtl/>
        </w:rPr>
        <w:t>44.</w:t>
      </w:r>
    </w:p>
  </w:footnote>
  <w:footnote w:id="12">
    <w:p w14:paraId="0BDE1E2A" w14:textId="77777777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 xml:space="preserve">מעניין שהמקור לפסיקת </w:t>
      </w:r>
      <w:proofErr w:type="spellStart"/>
      <w:r w:rsidRPr="0088768F">
        <w:rPr>
          <w:rFonts w:ascii="Narkisim" w:hAnsi="Narkisim"/>
          <w:rtl/>
        </w:rPr>
        <w:t>הרמ"א</w:t>
      </w:r>
      <w:proofErr w:type="spellEnd"/>
      <w:r w:rsidRPr="0088768F">
        <w:rPr>
          <w:rFonts w:ascii="Narkisim" w:hAnsi="Narkisim"/>
          <w:rtl/>
        </w:rPr>
        <w:t xml:space="preserve"> הוא תשובה של </w:t>
      </w:r>
      <w:proofErr w:type="spellStart"/>
      <w:r w:rsidRPr="0088768F">
        <w:rPr>
          <w:rFonts w:ascii="Narkisim" w:hAnsi="Narkisim"/>
          <w:rtl/>
        </w:rPr>
        <w:t>המהרי"ל</w:t>
      </w:r>
      <w:proofErr w:type="spellEnd"/>
      <w:r w:rsidRPr="0088768F">
        <w:rPr>
          <w:rFonts w:ascii="Narkisim" w:hAnsi="Narkisim"/>
          <w:rtl/>
        </w:rPr>
        <w:t>, שהוזכר לעיל.</w:t>
      </w:r>
    </w:p>
  </w:footnote>
  <w:footnote w:id="13">
    <w:p w14:paraId="6337F8D0" w14:textId="1F36C87B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>שולחן ערוך יורה דעה</w:t>
      </w:r>
      <w:r w:rsidR="00255FBB" w:rsidRPr="0088768F">
        <w:rPr>
          <w:rFonts w:ascii="Narkisim" w:hAnsi="Narkisim"/>
          <w:rtl/>
        </w:rPr>
        <w:t>,</w:t>
      </w:r>
      <w:r w:rsidRPr="0088768F">
        <w:rPr>
          <w:rFonts w:ascii="Narkisim" w:hAnsi="Narkisim"/>
          <w:rtl/>
        </w:rPr>
        <w:t xml:space="preserve"> </w:t>
      </w:r>
      <w:proofErr w:type="spellStart"/>
      <w:r w:rsidRPr="0088768F">
        <w:rPr>
          <w:rFonts w:ascii="Narkisim" w:hAnsi="Narkisim"/>
          <w:rtl/>
        </w:rPr>
        <w:t>קטז</w:t>
      </w:r>
      <w:proofErr w:type="spellEnd"/>
      <w:r w:rsidR="00255FBB" w:rsidRPr="0088768F">
        <w:rPr>
          <w:rFonts w:ascii="Narkisim" w:hAnsi="Narkisim"/>
          <w:rtl/>
        </w:rPr>
        <w:t xml:space="preserve">, </w:t>
      </w:r>
      <w:r w:rsidRPr="0088768F">
        <w:rPr>
          <w:rFonts w:ascii="Narkisim" w:hAnsi="Narkisim"/>
          <w:rtl/>
        </w:rPr>
        <w:t>ה.</w:t>
      </w:r>
    </w:p>
  </w:footnote>
  <w:footnote w:id="14">
    <w:p w14:paraId="75512F4E" w14:textId="422760E6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 xml:space="preserve">רבי חיים </w:t>
      </w:r>
      <w:proofErr w:type="spellStart"/>
      <w:r w:rsidRPr="0088768F">
        <w:rPr>
          <w:rFonts w:ascii="Narkisim" w:hAnsi="Narkisim"/>
          <w:rtl/>
        </w:rPr>
        <w:t>בנבנשתי</w:t>
      </w:r>
      <w:proofErr w:type="spellEnd"/>
      <w:r w:rsidRPr="0088768F">
        <w:rPr>
          <w:rFonts w:ascii="Narkisim" w:hAnsi="Narkisim"/>
          <w:rtl/>
        </w:rPr>
        <w:t xml:space="preserve"> (טורקיה, 1603</w:t>
      </w:r>
      <w:r w:rsidR="00255FBB" w:rsidRPr="0088768F">
        <w:rPr>
          <w:rFonts w:ascii="Narkisim" w:hAnsi="Narkisim"/>
          <w:rtl/>
        </w:rPr>
        <w:t>–</w:t>
      </w:r>
      <w:r w:rsidRPr="0088768F">
        <w:rPr>
          <w:rFonts w:ascii="Narkisim" w:hAnsi="Narkisim"/>
          <w:rtl/>
        </w:rPr>
        <w:t>1673).</w:t>
      </w:r>
    </w:p>
  </w:footnote>
  <w:footnote w:id="15">
    <w:p w14:paraId="4690CB2E" w14:textId="26028B82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>רבי יוסף מולכו (יוון, 1692</w:t>
      </w:r>
      <w:r w:rsidR="00255FBB" w:rsidRPr="0088768F">
        <w:rPr>
          <w:rFonts w:ascii="Narkisim" w:hAnsi="Narkisim"/>
          <w:rtl/>
        </w:rPr>
        <w:t>–</w:t>
      </w:r>
      <w:r w:rsidRPr="0088768F">
        <w:rPr>
          <w:rFonts w:ascii="Narkisim" w:hAnsi="Narkisim"/>
          <w:rtl/>
        </w:rPr>
        <w:t>1768).</w:t>
      </w:r>
    </w:p>
  </w:footnote>
  <w:footnote w:id="16">
    <w:p w14:paraId="3BCF89B0" w14:textId="172A8F00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 xml:space="preserve">שדי חמד, מערכת ב, </w:t>
      </w:r>
      <w:proofErr w:type="spellStart"/>
      <w:r w:rsidRPr="0088768F">
        <w:rPr>
          <w:rFonts w:ascii="Narkisim" w:hAnsi="Narkisim"/>
          <w:rtl/>
        </w:rPr>
        <w:t>קטז</w:t>
      </w:r>
      <w:proofErr w:type="spellEnd"/>
      <w:r w:rsidRPr="0088768F">
        <w:rPr>
          <w:rFonts w:ascii="Narkisim" w:hAnsi="Narkisim"/>
          <w:rtl/>
        </w:rPr>
        <w:t>.</w:t>
      </w:r>
    </w:p>
  </w:footnote>
  <w:footnote w:id="17">
    <w:p w14:paraId="23E206F2" w14:textId="1D657257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>טורקיה, 1788</w:t>
      </w:r>
      <w:r w:rsidR="0088768F" w:rsidRPr="0088768F">
        <w:rPr>
          <w:rFonts w:ascii="Narkisim" w:hAnsi="Narkisim"/>
          <w:rtl/>
        </w:rPr>
        <w:t>–</w:t>
      </w:r>
      <w:r w:rsidRPr="0088768F">
        <w:rPr>
          <w:rFonts w:ascii="Narkisim" w:hAnsi="Narkisim"/>
          <w:rtl/>
        </w:rPr>
        <w:t>1868.</w:t>
      </w:r>
    </w:p>
  </w:footnote>
  <w:footnote w:id="18">
    <w:p w14:paraId="31313BDF" w14:textId="77777777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>נשמת כל חי, כרך ב, חושן משפט מט.</w:t>
      </w:r>
    </w:p>
  </w:footnote>
  <w:footnote w:id="19">
    <w:p w14:paraId="48D29834" w14:textId="1DBD833A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proofErr w:type="spellStart"/>
      <w:r w:rsidRPr="0088768F">
        <w:rPr>
          <w:rFonts w:ascii="Narkisim" w:hAnsi="Narkisim"/>
          <w:rtl/>
        </w:rPr>
        <w:t>חזון</w:t>
      </w:r>
      <w:proofErr w:type="spellEnd"/>
      <w:r w:rsidRPr="0088768F">
        <w:rPr>
          <w:rFonts w:ascii="Narkisim" w:hAnsi="Narkisim"/>
          <w:rtl/>
        </w:rPr>
        <w:t xml:space="preserve"> עובדיה, אבלות, כרך א, עמ' 14.</w:t>
      </w:r>
    </w:p>
  </w:footnote>
  <w:footnote w:id="20">
    <w:p w14:paraId="5225D396" w14:textId="2E2D3935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>שבט הלוי ח</w:t>
      </w:r>
      <w:r w:rsidR="0088768F">
        <w:rPr>
          <w:rFonts w:ascii="Narkisim" w:hAnsi="Narkisim" w:hint="cs"/>
          <w:rtl/>
        </w:rPr>
        <w:t xml:space="preserve">, </w:t>
      </w:r>
      <w:proofErr w:type="spellStart"/>
      <w:r w:rsidRPr="0088768F">
        <w:rPr>
          <w:rFonts w:ascii="Narkisim" w:hAnsi="Narkisim"/>
          <w:rtl/>
        </w:rPr>
        <w:t>רנא</w:t>
      </w:r>
      <w:proofErr w:type="spellEnd"/>
      <w:r w:rsidRPr="0088768F">
        <w:rPr>
          <w:rFonts w:ascii="Narkisim" w:hAnsi="Narkisim"/>
          <w:rtl/>
        </w:rPr>
        <w:t>.</w:t>
      </w:r>
    </w:p>
  </w:footnote>
  <w:footnote w:id="21">
    <w:p w14:paraId="10331363" w14:textId="2B4C1471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>ציץ אליעזר ט</w:t>
      </w:r>
      <w:r w:rsidR="0088768F">
        <w:rPr>
          <w:rFonts w:ascii="Narkisim" w:hAnsi="Narkisim" w:hint="cs"/>
          <w:rtl/>
        </w:rPr>
        <w:t xml:space="preserve">, </w:t>
      </w:r>
      <w:proofErr w:type="spellStart"/>
      <w:r w:rsidRPr="0088768F">
        <w:rPr>
          <w:rFonts w:ascii="Narkisim" w:hAnsi="Narkisim"/>
          <w:rtl/>
        </w:rPr>
        <w:t>יז</w:t>
      </w:r>
      <w:proofErr w:type="spellEnd"/>
      <w:r w:rsidR="0088768F">
        <w:rPr>
          <w:rFonts w:ascii="Narkisim" w:hAnsi="Narkisim" w:hint="cs"/>
          <w:rtl/>
        </w:rPr>
        <w:t xml:space="preserve">, </w:t>
      </w:r>
      <w:r w:rsidRPr="0088768F">
        <w:rPr>
          <w:rFonts w:ascii="Narkisim" w:hAnsi="Narkisim"/>
          <w:rtl/>
        </w:rPr>
        <w:t>ה.</w:t>
      </w:r>
    </w:p>
  </w:footnote>
  <w:footnote w:id="22">
    <w:p w14:paraId="127B740A" w14:textId="691B915E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>ראו שולחן ערוך יורה דעה שלו</w:t>
      </w:r>
      <w:r w:rsidR="0088768F">
        <w:rPr>
          <w:rFonts w:ascii="Narkisim" w:hAnsi="Narkisim" w:hint="cs"/>
          <w:rtl/>
        </w:rPr>
        <w:t xml:space="preserve">, </w:t>
      </w:r>
      <w:r w:rsidRPr="0088768F">
        <w:rPr>
          <w:rFonts w:ascii="Narkisim" w:hAnsi="Narkisim"/>
          <w:rtl/>
        </w:rPr>
        <w:t>א</w:t>
      </w:r>
      <w:r w:rsidR="0088768F">
        <w:rPr>
          <w:rFonts w:ascii="Narkisim" w:hAnsi="Narkisim" w:hint="cs"/>
          <w:rtl/>
        </w:rPr>
        <w:t>;</w:t>
      </w:r>
      <w:r w:rsidRPr="0088768F">
        <w:rPr>
          <w:rFonts w:ascii="Narkisim" w:hAnsi="Narkisim"/>
          <w:rtl/>
        </w:rPr>
        <w:t xml:space="preserve"> ופירוש המשנה</w:t>
      </w:r>
      <w:r w:rsidR="0088768F">
        <w:rPr>
          <w:rFonts w:ascii="Narkisim" w:hAnsi="Narkisim" w:hint="cs"/>
          <w:rtl/>
        </w:rPr>
        <w:t xml:space="preserve"> לרמב"ם</w:t>
      </w:r>
      <w:r w:rsidRPr="0088768F">
        <w:rPr>
          <w:rFonts w:ascii="Narkisim" w:hAnsi="Narkisim"/>
          <w:rtl/>
        </w:rPr>
        <w:t>, נדרים ד</w:t>
      </w:r>
      <w:r w:rsidR="0088768F">
        <w:rPr>
          <w:rFonts w:ascii="Narkisim" w:hAnsi="Narkisim" w:hint="cs"/>
          <w:rtl/>
        </w:rPr>
        <w:t xml:space="preserve">, </w:t>
      </w:r>
      <w:r w:rsidRPr="0088768F">
        <w:rPr>
          <w:rFonts w:ascii="Narkisim" w:hAnsi="Narkisim"/>
          <w:rtl/>
        </w:rPr>
        <w:t>ד.</w:t>
      </w:r>
    </w:p>
  </w:footnote>
  <w:footnote w:id="23">
    <w:p w14:paraId="251F6A84" w14:textId="07015B3A" w:rsidR="00F90C07" w:rsidRPr="0088768F" w:rsidRDefault="00F90C07" w:rsidP="00D37F7A">
      <w:pPr>
        <w:pStyle w:val="a5"/>
        <w:spacing w:line="240" w:lineRule="auto"/>
        <w:ind w:left="0" w:firstLine="0"/>
        <w:rPr>
          <w:rFonts w:ascii="Narkisim" w:hAnsi="Narkisim"/>
        </w:rPr>
      </w:pPr>
      <w:r w:rsidRPr="0088768F">
        <w:rPr>
          <w:rStyle w:val="a7"/>
          <w:rFonts w:ascii="Narkisim" w:hAnsi="Narkisim"/>
        </w:rPr>
        <w:footnoteRef/>
      </w:r>
      <w:r w:rsidRPr="0088768F">
        <w:rPr>
          <w:rFonts w:ascii="Narkisim" w:hAnsi="Narkisim"/>
          <w:rtl/>
        </w:rPr>
        <w:t xml:space="preserve"> </w:t>
      </w:r>
      <w:r w:rsidRPr="0088768F">
        <w:rPr>
          <w:rFonts w:ascii="Narkisim" w:hAnsi="Narkisim"/>
          <w:rtl/>
        </w:rPr>
        <w:t>ברכות ס ע</w:t>
      </w:r>
      <w:r w:rsidR="0088768F">
        <w:rPr>
          <w:rFonts w:ascii="Narkisim" w:hAnsi="Narkisim" w:hint="cs"/>
          <w:rtl/>
        </w:rPr>
        <w:t>"</w:t>
      </w:r>
      <w:r w:rsidRPr="0088768F">
        <w:rPr>
          <w:rFonts w:ascii="Narkisim" w:hAnsi="Narkisim"/>
          <w:rtl/>
        </w:rPr>
        <w:t>א.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77777777" w:rsidR="00CF5589" w:rsidRDefault="00CF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8" w14:textId="77777777" w:rsidR="00CF5589" w:rsidRDefault="00CF5589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6B46D688" w14:textId="77777777" w:rsidR="0091079A" w:rsidRDefault="0091079A"/>
  <w:p w14:paraId="2638E061" w14:textId="77777777" w:rsidR="0091079A" w:rsidRDefault="0091079A"/>
  <w:p w14:paraId="70A05DC7" w14:textId="77777777" w:rsidR="0091079A" w:rsidRDefault="00910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3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1"/>
  </w:num>
  <w:num w:numId="2" w16cid:durableId="533350657">
    <w:abstractNumId w:val="4"/>
  </w:num>
  <w:num w:numId="3" w16cid:durableId="1445415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0"/>
  </w:num>
  <w:num w:numId="5" w16cid:durableId="16772289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5"/>
  </w:num>
  <w:num w:numId="7" w16cid:durableId="1403873214">
    <w:abstractNumId w:val="6"/>
  </w:num>
  <w:num w:numId="8" w16cid:durableId="9352489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44AA"/>
    <w:rsid w:val="0010474C"/>
    <w:rsid w:val="00105696"/>
    <w:rsid w:val="00105D5B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579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0FEB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950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2CB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C58"/>
    <w:rsid w:val="00541214"/>
    <w:rsid w:val="0054161D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BF9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1B4B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0A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0EFF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15A"/>
    <w:rsid w:val="008B385B"/>
    <w:rsid w:val="008B3D71"/>
    <w:rsid w:val="008B4D6C"/>
    <w:rsid w:val="008B5FC3"/>
    <w:rsid w:val="008B60E5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442"/>
    <w:rsid w:val="009628CE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4D65"/>
    <w:rsid w:val="009E52D2"/>
    <w:rsid w:val="009E5410"/>
    <w:rsid w:val="009E576D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C95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37A75"/>
    <w:rsid w:val="00A37B2B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A01D1"/>
    <w:rsid w:val="00BA0717"/>
    <w:rsid w:val="00BA0D00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6FE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6D0"/>
    <w:rsid w:val="00F52D16"/>
    <w:rsid w:val="00F52D70"/>
    <w:rsid w:val="00F538B4"/>
    <w:rsid w:val="00F53AA7"/>
    <w:rsid w:val="00F54892"/>
    <w:rsid w:val="00F5490A"/>
    <w:rsid w:val="00F54D79"/>
    <w:rsid w:val="00F54F1A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customStyle="1" w:styleId="cf01">
    <w:name w:val="cf01"/>
    <w:basedOn w:val="a0"/>
    <w:rsid w:val="004F1A7F"/>
    <w:rPr>
      <w:rFonts w:ascii="Tahoma" w:hAnsi="Tahoma" w:cs="Tahoma" w:hint="default"/>
      <w:sz w:val="18"/>
      <w:szCs w:val="18"/>
    </w:rPr>
  </w:style>
  <w:style w:type="character" w:styleId="affff3">
    <w:name w:val="Unresolved Mention"/>
    <w:basedOn w:val="a0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</TotalTime>
  <Pages>2</Pages>
  <Words>1071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6415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38</cp:revision>
  <cp:lastPrinted>2015-12-15T07:28:00Z</cp:lastPrinted>
  <dcterms:created xsi:type="dcterms:W3CDTF">2022-11-16T14:43:00Z</dcterms:created>
  <dcterms:modified xsi:type="dcterms:W3CDTF">2022-12-16T12:28:00Z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