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6D87" w14:textId="77777777" w:rsidR="007032A6" w:rsidRPr="00C32F90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464AAC9C" w14:textId="77777777" w:rsidR="007032A6" w:rsidRPr="00C32F90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39CCC1FA" w14:textId="77777777" w:rsidR="007032A6" w:rsidRPr="00C32F90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7F3A5D79" w14:textId="77777777" w:rsidR="007032A6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D20D9FF" w14:textId="77777777" w:rsidR="007032A6" w:rsidRPr="00C32F90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0581354" w14:textId="77777777" w:rsidR="007032A6" w:rsidRPr="00C32F90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32F90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7DEA7BEB" w14:textId="3ABF08BB" w:rsidR="007032A6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C32F90">
        <w:rPr>
          <w:rFonts w:asciiTheme="minorBidi" w:hAnsiTheme="minorBidi"/>
          <w:b/>
          <w:bCs/>
          <w:sz w:val="24"/>
          <w:szCs w:val="24"/>
        </w:rPr>
        <w:t>Rav Aviad Tabory</w:t>
      </w:r>
    </w:p>
    <w:p w14:paraId="4DBECDFE" w14:textId="77777777" w:rsidR="00D121FE" w:rsidRDefault="00D121FE" w:rsidP="0099723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1EC6AAF" w14:textId="77777777" w:rsidR="007032A6" w:rsidRPr="007032A6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4535A8">
        <w:rPr>
          <w:rFonts w:asciiTheme="minorBidi" w:hAnsiTheme="minorBidi"/>
          <w:b/>
          <w:bCs/>
          <w:sz w:val="24"/>
          <w:szCs w:val="24"/>
          <w:lang w:val="en-GB"/>
        </w:rPr>
        <w:t>Shiur</w:t>
      </w:r>
      <w:r w:rsidRPr="00C32F90">
        <w:rPr>
          <w:rFonts w:asciiTheme="minorBidi" w:hAnsiTheme="minorBidi"/>
          <w:b/>
          <w:bCs/>
          <w:sz w:val="24"/>
          <w:szCs w:val="24"/>
          <w:lang w:val="en-GB"/>
        </w:rPr>
        <w:t xml:space="preserve"> #</w:t>
      </w:r>
      <w:r>
        <w:rPr>
          <w:rFonts w:asciiTheme="minorBidi" w:hAnsiTheme="minorBidi"/>
          <w:b/>
          <w:bCs/>
          <w:sz w:val="24"/>
          <w:szCs w:val="24"/>
          <w:lang w:val="en-GB"/>
        </w:rPr>
        <w:t xml:space="preserve">25: </w:t>
      </w:r>
      <w:r w:rsidRPr="007032A6">
        <w:rPr>
          <w:rFonts w:asciiTheme="minorBidi" w:hAnsiTheme="minorBidi"/>
          <w:b/>
          <w:bCs/>
          <w:sz w:val="24"/>
          <w:szCs w:val="24"/>
        </w:rPr>
        <w:t>1810 First Reform Synagogue</w:t>
      </w:r>
    </w:p>
    <w:p w14:paraId="16E639F8" w14:textId="7DB96B57" w:rsidR="00A93BEC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7032A6">
        <w:rPr>
          <w:rFonts w:asciiTheme="minorBidi" w:hAnsiTheme="minorBidi"/>
          <w:b/>
          <w:bCs/>
          <w:i/>
          <w:iCs/>
          <w:sz w:val="24"/>
          <w:szCs w:val="24"/>
        </w:rPr>
        <w:t xml:space="preserve">Response to </w:t>
      </w:r>
      <w:r w:rsidR="009F2266">
        <w:rPr>
          <w:rFonts w:asciiTheme="minorBidi" w:hAnsiTheme="minorBidi"/>
          <w:b/>
          <w:bCs/>
          <w:i/>
          <w:iCs/>
          <w:sz w:val="24"/>
          <w:szCs w:val="24"/>
        </w:rPr>
        <w:t xml:space="preserve">the </w:t>
      </w:r>
      <w:r w:rsidR="00DD58B2">
        <w:rPr>
          <w:rFonts w:asciiTheme="minorBidi" w:hAnsiTheme="minorBidi" w:hint="cs"/>
          <w:b/>
          <w:bCs/>
          <w:i/>
          <w:iCs/>
          <w:sz w:val="24"/>
          <w:szCs w:val="24"/>
        </w:rPr>
        <w:t>R</w:t>
      </w:r>
      <w:r w:rsidRPr="007032A6">
        <w:rPr>
          <w:rFonts w:asciiTheme="minorBidi" w:hAnsiTheme="minorBidi"/>
          <w:b/>
          <w:bCs/>
          <w:i/>
          <w:iCs/>
          <w:sz w:val="24"/>
          <w:szCs w:val="24"/>
        </w:rPr>
        <w:t>eform</w:t>
      </w:r>
      <w:r w:rsidR="009F2266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DD58B2">
        <w:rPr>
          <w:rFonts w:asciiTheme="minorBidi" w:hAnsiTheme="minorBidi" w:hint="cs"/>
          <w:b/>
          <w:bCs/>
          <w:i/>
          <w:iCs/>
          <w:sz w:val="24"/>
          <w:szCs w:val="24"/>
        </w:rPr>
        <w:t>M</w:t>
      </w:r>
      <w:r w:rsidR="009F2266">
        <w:rPr>
          <w:rFonts w:asciiTheme="minorBidi" w:hAnsiTheme="minorBidi"/>
          <w:b/>
          <w:bCs/>
          <w:i/>
          <w:iCs/>
          <w:sz w:val="24"/>
          <w:szCs w:val="24"/>
        </w:rPr>
        <w:t>ovement</w:t>
      </w:r>
    </w:p>
    <w:p w14:paraId="30006625" w14:textId="1FE9E008" w:rsidR="007032A6" w:rsidRDefault="007032A6" w:rsidP="00997232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6A445717" w14:textId="77777777" w:rsidR="00D121FE" w:rsidRDefault="00D121FE" w:rsidP="00997232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7E5ED0E4" w14:textId="63B36DC7" w:rsidR="001F3A21" w:rsidRDefault="00DE7E1D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E7E1D">
        <w:rPr>
          <w:rFonts w:asciiTheme="minorBidi" w:hAnsiTheme="minorBidi"/>
          <w:sz w:val="24"/>
          <w:szCs w:val="24"/>
        </w:rPr>
        <w:t xml:space="preserve">The first </w:t>
      </w:r>
      <w:r w:rsidR="00331539">
        <w:rPr>
          <w:rFonts w:asciiTheme="minorBidi" w:hAnsiTheme="minorBidi"/>
          <w:sz w:val="24"/>
          <w:szCs w:val="24"/>
        </w:rPr>
        <w:t xml:space="preserve">official </w:t>
      </w:r>
      <w:r w:rsidRPr="00DE7E1D">
        <w:rPr>
          <w:rFonts w:asciiTheme="minorBidi" w:hAnsiTheme="minorBidi"/>
          <w:sz w:val="24"/>
          <w:szCs w:val="24"/>
        </w:rPr>
        <w:t>Reform Synagogue was founded in Hamburg Germany in 1818</w:t>
      </w:r>
      <w:r w:rsidR="008B1D99">
        <w:rPr>
          <w:rFonts w:asciiTheme="minorBidi" w:hAnsiTheme="minorBidi"/>
          <w:sz w:val="24"/>
          <w:szCs w:val="24"/>
        </w:rPr>
        <w:t>,</w:t>
      </w:r>
      <w:r w:rsidRPr="00DE7E1D">
        <w:rPr>
          <w:rFonts w:asciiTheme="minorBidi" w:hAnsiTheme="minorBidi"/>
          <w:sz w:val="24"/>
          <w:szCs w:val="24"/>
        </w:rPr>
        <w:t xml:space="preserve"> by Edward Kley. However, it was </w:t>
      </w:r>
      <w:r w:rsidR="00AA1CB0" w:rsidRPr="00F14C8E">
        <w:rPr>
          <w:rFonts w:asciiTheme="minorBidi" w:hAnsiTheme="minorBidi"/>
          <w:sz w:val="24"/>
          <w:szCs w:val="24"/>
        </w:rPr>
        <w:t xml:space="preserve">a </w:t>
      </w:r>
      <w:r w:rsidR="00AA1CB0" w:rsidRPr="007167A7">
        <w:rPr>
          <w:rFonts w:asciiTheme="minorBidi" w:hAnsiTheme="minorBidi"/>
          <w:sz w:val="24"/>
          <w:szCs w:val="24"/>
        </w:rPr>
        <w:t>Jewish </w:t>
      </w:r>
      <w:hyperlink r:id="rId8" w:tooltip="Philanthropist" w:history="1">
        <w:r w:rsidR="00AA1CB0" w:rsidRPr="007167A7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philanthropist</w:t>
        </w:r>
      </w:hyperlink>
      <w:r w:rsidR="00AA1CB0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 xml:space="preserve"> named </w:t>
      </w:r>
      <w:r w:rsidR="007B2D92" w:rsidRPr="00DE7E1D">
        <w:rPr>
          <w:rFonts w:asciiTheme="minorBidi" w:hAnsiTheme="minorBidi"/>
          <w:sz w:val="24"/>
          <w:szCs w:val="24"/>
        </w:rPr>
        <w:t>Israel Jacobson</w:t>
      </w:r>
      <w:r w:rsidR="00D121FE">
        <w:rPr>
          <w:rFonts w:asciiTheme="minorBidi" w:hAnsiTheme="minorBidi"/>
          <w:sz w:val="24"/>
          <w:szCs w:val="24"/>
        </w:rPr>
        <w:t xml:space="preserve"> </w:t>
      </w:r>
      <w:r w:rsidR="007B2D92" w:rsidRPr="00DE7E1D">
        <w:rPr>
          <w:rFonts w:asciiTheme="minorBidi" w:hAnsiTheme="minorBidi"/>
          <w:sz w:val="24"/>
          <w:szCs w:val="24"/>
        </w:rPr>
        <w:t>(1768</w:t>
      </w:r>
      <w:r w:rsidRPr="00DE7E1D">
        <w:rPr>
          <w:rFonts w:asciiTheme="minorBidi" w:hAnsiTheme="minorBidi"/>
          <w:sz w:val="24"/>
          <w:szCs w:val="24"/>
        </w:rPr>
        <w:t>-</w:t>
      </w:r>
      <w:r w:rsidR="007B2D92" w:rsidRPr="00DE7E1D">
        <w:rPr>
          <w:rFonts w:asciiTheme="minorBidi" w:hAnsiTheme="minorBidi"/>
          <w:sz w:val="24"/>
          <w:szCs w:val="24"/>
        </w:rPr>
        <w:t>1828,</w:t>
      </w:r>
      <w:r w:rsidR="00D121FE">
        <w:rPr>
          <w:rFonts w:asciiTheme="minorBidi" w:hAnsiTheme="minorBidi"/>
          <w:sz w:val="24"/>
          <w:szCs w:val="24"/>
        </w:rPr>
        <w:t xml:space="preserve"> </w:t>
      </w:r>
      <w:hyperlink r:id="rId9" w:tooltip="Berlin" w:history="1">
        <w:r w:rsidR="007B2D92" w:rsidRPr="00DE7E1D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Berlin</w:t>
        </w:r>
      </w:hyperlink>
      <w:r w:rsidR="007B2D92" w:rsidRPr="00DE7E1D">
        <w:rPr>
          <w:rFonts w:asciiTheme="minorBidi" w:hAnsiTheme="minorBidi"/>
          <w:sz w:val="24"/>
          <w:szCs w:val="24"/>
        </w:rPr>
        <w:t>)</w:t>
      </w:r>
      <w:r w:rsidR="00AA1CB0" w:rsidDel="00AA1CB0">
        <w:rPr>
          <w:rFonts w:asciiTheme="minorBidi" w:hAnsiTheme="minorBidi"/>
          <w:sz w:val="24"/>
          <w:szCs w:val="24"/>
        </w:rPr>
        <w:t xml:space="preserve"> </w:t>
      </w:r>
      <w:r w:rsidR="00EE2F55" w:rsidRPr="007167A7">
        <w:rPr>
          <w:rFonts w:asciiTheme="minorBidi" w:hAnsiTheme="minorBidi"/>
          <w:sz w:val="24"/>
          <w:szCs w:val="24"/>
        </w:rPr>
        <w:t xml:space="preserve">who </w:t>
      </w:r>
      <w:r w:rsidR="008B1D99">
        <w:rPr>
          <w:rFonts w:asciiTheme="minorBidi" w:hAnsiTheme="minorBidi"/>
          <w:sz w:val="24"/>
          <w:szCs w:val="24"/>
        </w:rPr>
        <w:t xml:space="preserve">had begun </w:t>
      </w:r>
      <w:r w:rsidR="001F3A21">
        <w:rPr>
          <w:rFonts w:asciiTheme="minorBidi" w:hAnsiTheme="minorBidi"/>
          <w:sz w:val="24"/>
          <w:szCs w:val="24"/>
        </w:rPr>
        <w:t xml:space="preserve">introducing </w:t>
      </w:r>
      <w:r w:rsidR="00AA1CB0">
        <w:rPr>
          <w:rFonts w:asciiTheme="minorBidi" w:hAnsiTheme="minorBidi"/>
          <w:sz w:val="24"/>
          <w:szCs w:val="24"/>
        </w:rPr>
        <w:t xml:space="preserve">the </w:t>
      </w:r>
      <w:r w:rsidR="001F3A21">
        <w:rPr>
          <w:rFonts w:asciiTheme="minorBidi" w:hAnsiTheme="minorBidi"/>
          <w:sz w:val="24"/>
          <w:szCs w:val="24"/>
        </w:rPr>
        <w:t xml:space="preserve">changes to the traditional prayer service </w:t>
      </w:r>
      <w:r w:rsidR="008B1D99">
        <w:rPr>
          <w:rFonts w:asciiTheme="minorBidi" w:hAnsiTheme="minorBidi"/>
          <w:sz w:val="24"/>
          <w:szCs w:val="24"/>
        </w:rPr>
        <w:t xml:space="preserve">that </w:t>
      </w:r>
      <w:r w:rsidR="001F3A21">
        <w:rPr>
          <w:rFonts w:asciiTheme="minorBidi" w:hAnsiTheme="minorBidi"/>
          <w:sz w:val="24"/>
          <w:szCs w:val="24"/>
        </w:rPr>
        <w:t>ultimately led to the Hamburg Temple.</w:t>
      </w:r>
    </w:p>
    <w:p w14:paraId="339D5D21" w14:textId="77777777" w:rsidR="008559FF" w:rsidRDefault="008559FF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6C4C07B" w14:textId="24A03B47" w:rsidR="00F14C8E" w:rsidRDefault="00F14C8E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</w:rPr>
        <w:t xml:space="preserve">On July </w:t>
      </w:r>
      <w:r w:rsidR="008B1D99">
        <w:rPr>
          <w:rFonts w:asciiTheme="minorBidi" w:hAnsiTheme="minorBidi"/>
          <w:sz w:val="24"/>
          <w:szCs w:val="24"/>
        </w:rPr>
        <w:t xml:space="preserve">17, </w:t>
      </w:r>
      <w:r w:rsidR="00EE2F55">
        <w:rPr>
          <w:rFonts w:asciiTheme="minorBidi" w:hAnsiTheme="minorBidi"/>
          <w:sz w:val="24"/>
          <w:szCs w:val="24"/>
        </w:rPr>
        <w:t>1810</w:t>
      </w:r>
      <w:r w:rsidR="008B1D99">
        <w:rPr>
          <w:rFonts w:asciiTheme="minorBidi" w:hAnsiTheme="minorBidi"/>
          <w:sz w:val="24"/>
          <w:szCs w:val="24"/>
        </w:rPr>
        <w:t>,</w:t>
      </w:r>
      <w:r w:rsidR="00EE2F5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Jacobson</w:t>
      </w:r>
      <w:r w:rsidR="00DE7E1D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F971B9">
        <w:rPr>
          <w:rFonts w:asciiTheme="minorBidi" w:hAnsiTheme="minorBidi"/>
          <w:sz w:val="24"/>
          <w:szCs w:val="24"/>
          <w:shd w:val="clear" w:color="auto" w:fill="FFFFFF"/>
        </w:rPr>
        <w:t xml:space="preserve">introduced a prayer service </w:t>
      </w:r>
      <w:r w:rsidR="008B1D99">
        <w:rPr>
          <w:rFonts w:asciiTheme="minorBidi" w:hAnsiTheme="minorBidi"/>
          <w:sz w:val="24"/>
          <w:szCs w:val="24"/>
          <w:shd w:val="clear" w:color="auto" w:fill="FFFFFF"/>
        </w:rPr>
        <w:t>that</w:t>
      </w:r>
      <w:r w:rsidR="008B1D99" w:rsidRPr="00DE7E1D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AA1CB0">
        <w:rPr>
          <w:rFonts w:asciiTheme="minorBidi" w:hAnsiTheme="minorBidi"/>
          <w:sz w:val="24"/>
          <w:szCs w:val="24"/>
          <w:shd w:val="clear" w:color="auto" w:fill="FFFFFF"/>
        </w:rPr>
        <w:t>included</w:t>
      </w:r>
      <w:r w:rsidR="00AA1CB0" w:rsidRPr="00DE7E1D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7B2D92" w:rsidRPr="00DE7E1D">
        <w:rPr>
          <w:rFonts w:asciiTheme="minorBidi" w:hAnsiTheme="minorBidi"/>
          <w:sz w:val="24"/>
          <w:szCs w:val="24"/>
          <w:shd w:val="clear" w:color="auto" w:fill="FFFFFF"/>
        </w:rPr>
        <w:t xml:space="preserve">an organ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and </w:t>
      </w:r>
      <w:r w:rsidR="007B2D92" w:rsidRPr="00DE7E1D">
        <w:rPr>
          <w:rFonts w:asciiTheme="minorBidi" w:hAnsiTheme="minorBidi"/>
          <w:sz w:val="24"/>
          <w:szCs w:val="24"/>
          <w:shd w:val="clear" w:color="auto" w:fill="FFFFFF"/>
        </w:rPr>
        <w:t>a choir</w:t>
      </w:r>
      <w:r>
        <w:rPr>
          <w:rFonts w:asciiTheme="minorBidi" w:hAnsiTheme="minorBidi"/>
          <w:sz w:val="24"/>
          <w:szCs w:val="24"/>
          <w:shd w:val="clear" w:color="auto" w:fill="FFFFFF"/>
        </w:rPr>
        <w:t>.</w:t>
      </w:r>
      <w:r w:rsidR="007B2D92" w:rsidRPr="00DE7E1D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He also changed the classic prayer text by adding </w:t>
      </w:r>
      <w:r w:rsidR="0025471E">
        <w:rPr>
          <w:rFonts w:asciiTheme="minorBidi" w:hAnsiTheme="minorBidi"/>
          <w:sz w:val="24"/>
          <w:szCs w:val="24"/>
          <w:shd w:val="clear" w:color="auto" w:fill="FFFFFF"/>
        </w:rPr>
        <w:t xml:space="preserve">German </w:t>
      </w:r>
      <w:r w:rsidR="007167A7">
        <w:rPr>
          <w:rFonts w:asciiTheme="minorBidi" w:hAnsiTheme="minorBidi"/>
          <w:sz w:val="24"/>
          <w:szCs w:val="24"/>
          <w:shd w:val="clear" w:color="auto" w:fill="FFFFFF"/>
        </w:rPr>
        <w:t>translations</w:t>
      </w:r>
      <w:r w:rsidR="0025471E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CE1846">
        <w:rPr>
          <w:rFonts w:asciiTheme="minorBidi" w:hAnsiTheme="minorBidi"/>
          <w:sz w:val="24"/>
          <w:szCs w:val="24"/>
          <w:shd w:val="clear" w:color="auto" w:fill="FFFFFF"/>
        </w:rPr>
        <w:t>These changes were considered rebellious. Although translati</w:t>
      </w:r>
      <w:r w:rsidR="008B1D99">
        <w:rPr>
          <w:rFonts w:asciiTheme="minorBidi" w:hAnsiTheme="minorBidi"/>
          <w:sz w:val="24"/>
          <w:szCs w:val="24"/>
          <w:shd w:val="clear" w:color="auto" w:fill="FFFFFF"/>
        </w:rPr>
        <w:t>ng</w:t>
      </w:r>
      <w:r w:rsidR="00CE1846">
        <w:rPr>
          <w:rFonts w:asciiTheme="minorBidi" w:hAnsiTheme="minorBidi"/>
          <w:sz w:val="24"/>
          <w:szCs w:val="24"/>
          <w:shd w:val="clear" w:color="auto" w:fill="FFFFFF"/>
        </w:rPr>
        <w:t xml:space="preserve"> prayers to the </w:t>
      </w:r>
      <w:r w:rsidR="00F308EE">
        <w:rPr>
          <w:rFonts w:asciiTheme="minorBidi" w:hAnsiTheme="minorBidi"/>
          <w:sz w:val="24"/>
          <w:szCs w:val="24"/>
          <w:shd w:val="clear" w:color="auto" w:fill="FFFFFF"/>
        </w:rPr>
        <w:t xml:space="preserve">country’s </w:t>
      </w:r>
      <w:r w:rsidR="00CE1846">
        <w:rPr>
          <w:rFonts w:asciiTheme="minorBidi" w:hAnsiTheme="minorBidi"/>
          <w:sz w:val="24"/>
          <w:szCs w:val="24"/>
          <w:shd w:val="clear" w:color="auto" w:fill="FFFFFF"/>
        </w:rPr>
        <w:t>spoken language was common practice in the Portuguese and Italian communities, only translation</w:t>
      </w:r>
      <w:r w:rsidR="00264B0B">
        <w:rPr>
          <w:rFonts w:asciiTheme="minorBidi" w:hAnsiTheme="minorBidi"/>
          <w:sz w:val="24"/>
          <w:szCs w:val="24"/>
          <w:shd w:val="clear" w:color="auto" w:fill="FFFFFF"/>
        </w:rPr>
        <w:t>s</w:t>
      </w:r>
      <w:r w:rsidR="00CE1846">
        <w:rPr>
          <w:rFonts w:asciiTheme="minorBidi" w:hAnsiTheme="minorBidi"/>
          <w:sz w:val="24"/>
          <w:szCs w:val="24"/>
          <w:shd w:val="clear" w:color="auto" w:fill="FFFFFF"/>
        </w:rPr>
        <w:t xml:space="preserve"> to Yiddish were acceptable</w:t>
      </w:r>
      <w:r w:rsidR="00AA1CB0" w:rsidRPr="00AA1CB0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AA1CB0">
        <w:rPr>
          <w:rFonts w:asciiTheme="minorBidi" w:hAnsiTheme="minorBidi"/>
          <w:sz w:val="24"/>
          <w:szCs w:val="24"/>
          <w:shd w:val="clear" w:color="auto" w:fill="FFFFFF"/>
        </w:rPr>
        <w:t>in Poland and Germany</w:t>
      </w:r>
      <w:r w:rsidR="00CE1846">
        <w:rPr>
          <w:rFonts w:asciiTheme="minorBidi" w:hAnsiTheme="minorBidi"/>
          <w:sz w:val="24"/>
          <w:szCs w:val="24"/>
          <w:shd w:val="clear" w:color="auto" w:fill="FFFFFF"/>
        </w:rPr>
        <w:t>.</w:t>
      </w:r>
      <w:r w:rsidR="00CE1846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"/>
      </w:r>
    </w:p>
    <w:p w14:paraId="20EDB945" w14:textId="158E550E" w:rsidR="00FF1122" w:rsidRDefault="00FF1122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2DB47BD8" w14:textId="0E2C1D7F" w:rsidR="00264B0B" w:rsidRDefault="00FF1122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The Reform </w:t>
      </w:r>
      <w:r w:rsidR="00331539">
        <w:rPr>
          <w:rFonts w:asciiTheme="minorBidi" w:hAnsiTheme="minorBidi"/>
          <w:sz w:val="24"/>
          <w:szCs w:val="24"/>
          <w:shd w:val="clear" w:color="auto" w:fill="FFFFFF"/>
        </w:rPr>
        <w:t>M</w:t>
      </w:r>
      <w:r>
        <w:rPr>
          <w:rFonts w:asciiTheme="minorBidi" w:hAnsiTheme="minorBidi"/>
          <w:sz w:val="24"/>
          <w:szCs w:val="24"/>
          <w:shd w:val="clear" w:color="auto" w:fill="FFFFFF"/>
        </w:rPr>
        <w:t>ovement</w:t>
      </w:r>
      <w:r w:rsidR="00AA1CB0">
        <w:rPr>
          <w:rFonts w:asciiTheme="minorBidi" w:hAnsiTheme="minorBidi"/>
          <w:sz w:val="24"/>
          <w:szCs w:val="24"/>
          <w:shd w:val="clear" w:color="auto" w:fill="FFFFFF"/>
        </w:rPr>
        <w:t xml:space="preserve"> made other early changes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related to prayer and traditions of the </w:t>
      </w:r>
      <w:r w:rsidR="006963B9">
        <w:rPr>
          <w:rFonts w:asciiTheme="minorBidi" w:hAnsiTheme="minorBidi"/>
          <w:sz w:val="24"/>
          <w:szCs w:val="24"/>
          <w:shd w:val="clear" w:color="auto" w:fill="FFFFFF"/>
        </w:rPr>
        <w:t>s</w:t>
      </w:r>
      <w:r>
        <w:rPr>
          <w:rFonts w:asciiTheme="minorBidi" w:hAnsiTheme="minorBidi"/>
          <w:sz w:val="24"/>
          <w:szCs w:val="24"/>
          <w:shd w:val="clear" w:color="auto" w:fill="FFFFFF"/>
        </w:rPr>
        <w:t>ynagogue</w:t>
      </w:r>
      <w:r w:rsidRPr="004F0880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264B0B" w:rsidRPr="004F0880">
        <w:rPr>
          <w:rFonts w:asciiTheme="minorBidi" w:hAnsiTheme="minorBidi"/>
          <w:sz w:val="24"/>
          <w:szCs w:val="24"/>
          <w:shd w:val="clear" w:color="auto" w:fill="FFFFFF"/>
        </w:rPr>
        <w:t>T</w:t>
      </w:r>
      <w:r w:rsidR="00EE2F55" w:rsidRPr="004F0880">
        <w:rPr>
          <w:rFonts w:asciiTheme="minorBidi" w:hAnsiTheme="minorBidi"/>
          <w:sz w:val="24"/>
          <w:szCs w:val="24"/>
          <w:shd w:val="clear" w:color="auto" w:fill="FFFFFF"/>
        </w:rPr>
        <w:t>he</w:t>
      </w:r>
      <w:r w:rsidR="00264B0B" w:rsidRPr="004F0880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hyperlink r:id="rId10" w:tooltip="Hamburg Temple" w:history="1">
        <w:r w:rsidR="00EE2F55" w:rsidRPr="004F0880">
          <w:rPr>
            <w:rStyle w:val="Hyperlink"/>
            <w:rFonts w:asciiTheme="minorBidi" w:hAnsiTheme="minorBidi"/>
            <w:color w:val="auto"/>
            <w:sz w:val="24"/>
            <w:szCs w:val="24"/>
            <w:u w:val="none"/>
            <w:shd w:val="clear" w:color="auto" w:fill="FFFFFF"/>
          </w:rPr>
          <w:t>Hamburg Temple</w:t>
        </w:r>
      </w:hyperlink>
      <w:r w:rsidR="00264B0B" w:rsidRPr="004F0880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264B0B">
        <w:rPr>
          <w:rFonts w:asciiTheme="minorBidi" w:hAnsiTheme="minorBidi"/>
          <w:sz w:val="24"/>
          <w:szCs w:val="24"/>
          <w:shd w:val="clear" w:color="auto" w:fill="FFFFFF"/>
        </w:rPr>
        <w:t>omitted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entire sections from the trad</w:t>
      </w:r>
      <w:r w:rsidR="004F0880">
        <w:rPr>
          <w:rFonts w:asciiTheme="minorBidi" w:hAnsiTheme="minorBidi"/>
          <w:sz w:val="24"/>
          <w:szCs w:val="24"/>
          <w:shd w:val="clear" w:color="auto" w:fill="FFFFFF"/>
        </w:rPr>
        <w:t>it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ional 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siddur</w:t>
      </w:r>
      <w:r>
        <w:rPr>
          <w:rFonts w:asciiTheme="minorBidi" w:hAnsiTheme="minorBidi"/>
          <w:sz w:val="24"/>
          <w:szCs w:val="24"/>
          <w:shd w:val="clear" w:color="auto" w:fill="FFFFFF"/>
        </w:rPr>
        <w:t>.  These prayers were not chosen randomly</w:t>
      </w:r>
      <w:r w:rsidR="006963B9">
        <w:rPr>
          <w:rFonts w:asciiTheme="minorBidi" w:hAnsiTheme="minorBidi"/>
          <w:sz w:val="24"/>
          <w:szCs w:val="24"/>
          <w:shd w:val="clear" w:color="auto" w:fill="FFFFFF"/>
        </w:rPr>
        <w:t xml:space="preserve">; </w:t>
      </w:r>
      <w:r>
        <w:rPr>
          <w:rFonts w:asciiTheme="minorBidi" w:hAnsiTheme="minorBidi"/>
          <w:sz w:val="24"/>
          <w:szCs w:val="24"/>
          <w:shd w:val="clear" w:color="auto" w:fill="FFFFFF"/>
        </w:rPr>
        <w:t>they were</w:t>
      </w:r>
      <w:r w:rsidR="004F0880">
        <w:rPr>
          <w:rFonts w:asciiTheme="minorBidi" w:hAnsiTheme="minorBidi"/>
          <w:sz w:val="24"/>
          <w:szCs w:val="24"/>
          <w:shd w:val="clear" w:color="auto" w:fill="FFFFFF"/>
        </w:rPr>
        <w:t xml:space="preserve"> all texts that had to do with </w:t>
      </w:r>
      <w:r w:rsidR="006963B9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k</w:t>
      </w:r>
      <w:r w:rsidR="004F0880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orbanot, Mikdash</w:t>
      </w:r>
      <w:r w:rsidR="006963B9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4F0880">
        <w:rPr>
          <w:rFonts w:asciiTheme="minorBidi" w:hAnsiTheme="minorBidi"/>
          <w:sz w:val="24"/>
          <w:szCs w:val="24"/>
          <w:shd w:val="clear" w:color="auto" w:fill="FFFFFF"/>
        </w:rPr>
        <w:t xml:space="preserve"> and the return to Tzion. This was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part of an agenda to rid Judaism </w:t>
      </w:r>
      <w:r w:rsidR="006963B9">
        <w:rPr>
          <w:rFonts w:asciiTheme="minorBidi" w:hAnsiTheme="minorBidi"/>
          <w:sz w:val="24"/>
          <w:szCs w:val="24"/>
          <w:shd w:val="clear" w:color="auto" w:fill="FFFFFF"/>
        </w:rPr>
        <w:t xml:space="preserve">of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its beliefs in the rebuilding of the 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Be</w:t>
      </w:r>
      <w:r w:rsidR="006963B9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t Ha</w:t>
      </w:r>
      <w:r w:rsidR="004F0880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-M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ikdash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and</w:t>
      </w:r>
      <w:r w:rsidR="004F0880">
        <w:rPr>
          <w:rFonts w:asciiTheme="minorBidi" w:hAnsiTheme="minorBidi"/>
          <w:sz w:val="24"/>
          <w:szCs w:val="24"/>
          <w:shd w:val="clear" w:color="auto" w:fill="FFFFFF"/>
        </w:rPr>
        <w:t xml:space="preserve"> in the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return of the Jewish people to the Land of Israel. </w:t>
      </w:r>
    </w:p>
    <w:p w14:paraId="150451EB" w14:textId="77777777" w:rsidR="00264B0B" w:rsidRDefault="00264B0B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016FB687" w14:textId="486BC976" w:rsidR="004F0880" w:rsidRDefault="00634B5A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The </w:t>
      </w:r>
      <w:r w:rsidR="00331539">
        <w:rPr>
          <w:rFonts w:asciiTheme="minorBidi" w:hAnsiTheme="minorBidi"/>
          <w:sz w:val="24"/>
          <w:szCs w:val="24"/>
          <w:shd w:val="clear" w:color="auto" w:fill="FFFFFF"/>
        </w:rPr>
        <w:t>R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eform </w:t>
      </w:r>
      <w:r w:rsidR="00331539">
        <w:rPr>
          <w:rFonts w:asciiTheme="minorBidi" w:hAnsiTheme="minorBidi"/>
          <w:sz w:val="24"/>
          <w:szCs w:val="24"/>
          <w:shd w:val="clear" w:color="auto" w:fill="FFFFFF"/>
        </w:rPr>
        <w:t>M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ovement was </w:t>
      </w:r>
      <w:r w:rsidR="006963B9">
        <w:rPr>
          <w:rFonts w:asciiTheme="minorBidi" w:hAnsiTheme="minorBidi"/>
          <w:sz w:val="24"/>
          <w:szCs w:val="24"/>
          <w:shd w:val="clear" w:color="auto" w:fill="FFFFFF"/>
        </w:rPr>
        <w:t xml:space="preserve">deeply </w:t>
      </w:r>
      <w:r>
        <w:rPr>
          <w:rFonts w:asciiTheme="minorBidi" w:hAnsiTheme="minorBidi"/>
          <w:sz w:val="24"/>
          <w:szCs w:val="24"/>
          <w:shd w:val="clear" w:color="auto" w:fill="FFFFFF"/>
        </w:rPr>
        <w:t>influenced by the architecture</w:t>
      </w:r>
      <w:r w:rsidR="004F0880">
        <w:rPr>
          <w:rFonts w:asciiTheme="minorBidi" w:hAnsiTheme="minorBidi"/>
          <w:sz w:val="24"/>
          <w:szCs w:val="24"/>
          <w:shd w:val="clear" w:color="auto" w:fill="FFFFFF"/>
        </w:rPr>
        <w:t xml:space="preserve"> of the church as well as its rituals. As a </w:t>
      </w:r>
      <w:r w:rsidR="00CA781E">
        <w:rPr>
          <w:rFonts w:asciiTheme="minorBidi" w:hAnsiTheme="minorBidi"/>
          <w:sz w:val="24"/>
          <w:szCs w:val="24"/>
          <w:shd w:val="clear" w:color="auto" w:fill="FFFFFF"/>
        </w:rPr>
        <w:t>result</w:t>
      </w:r>
      <w:r w:rsidR="00DE4FC4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CA781E">
        <w:rPr>
          <w:rFonts w:asciiTheme="minorBidi" w:hAnsiTheme="minorBidi"/>
          <w:sz w:val="24"/>
          <w:szCs w:val="24"/>
          <w:shd w:val="clear" w:color="auto" w:fill="FFFFFF"/>
        </w:rPr>
        <w:t xml:space="preserve"> they</w:t>
      </w:r>
      <w:r w:rsidR="004F0880">
        <w:rPr>
          <w:rFonts w:asciiTheme="minorBidi" w:hAnsiTheme="minorBidi"/>
          <w:sz w:val="24"/>
          <w:szCs w:val="24"/>
          <w:shd w:val="clear" w:color="auto" w:fill="FFFFFF"/>
        </w:rPr>
        <w:t xml:space="preserve"> began to introduce customs </w:t>
      </w:r>
      <w:r w:rsidR="00EC602A">
        <w:rPr>
          <w:rFonts w:asciiTheme="minorBidi" w:hAnsiTheme="minorBidi"/>
          <w:sz w:val="24"/>
          <w:szCs w:val="24"/>
          <w:shd w:val="clear" w:color="auto" w:fill="FFFFFF"/>
        </w:rPr>
        <w:t>derived from</w:t>
      </w:r>
      <w:r w:rsidR="004F0880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 xml:space="preserve">the </w:t>
      </w:r>
      <w:r w:rsidR="004F0880">
        <w:rPr>
          <w:rFonts w:asciiTheme="minorBidi" w:hAnsiTheme="minorBidi"/>
          <w:sz w:val="24"/>
          <w:szCs w:val="24"/>
          <w:shd w:val="clear" w:color="auto" w:fill="FFFFFF"/>
        </w:rPr>
        <w:t xml:space="preserve">Christian 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>religion</w:t>
      </w:r>
      <w:r w:rsidR="004F0880">
        <w:rPr>
          <w:rFonts w:asciiTheme="minorBidi" w:hAnsiTheme="minorBidi"/>
          <w:sz w:val="24"/>
          <w:szCs w:val="24"/>
          <w:shd w:val="clear" w:color="auto" w:fill="FFFFFF"/>
        </w:rPr>
        <w:t>.</w:t>
      </w:r>
    </w:p>
    <w:p w14:paraId="4EE52A75" w14:textId="77777777" w:rsidR="00D121FE" w:rsidRDefault="00D121FE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6D1AC34E" w14:textId="44B005B1" w:rsidR="00DD58B2" w:rsidRDefault="004F0880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One of these changes involved redesigning</w:t>
      </w:r>
      <w:r w:rsidR="00DE4FC4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EC602A">
        <w:rPr>
          <w:rFonts w:asciiTheme="minorBidi" w:hAnsiTheme="minorBidi"/>
          <w:sz w:val="24"/>
          <w:szCs w:val="24"/>
          <w:shd w:val="clear" w:color="auto" w:fill="FFFFFF"/>
        </w:rPr>
        <w:t>the interior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sanctuary </w:t>
      </w:r>
      <w:r w:rsidR="00EC602A">
        <w:rPr>
          <w:rFonts w:asciiTheme="minorBidi" w:hAnsiTheme="minorBidi"/>
          <w:sz w:val="24"/>
          <w:szCs w:val="24"/>
          <w:shd w:val="clear" w:color="auto" w:fill="FFFFFF"/>
        </w:rPr>
        <w:t>and re</w:t>
      </w:r>
      <w:r w:rsidR="00DE4FC4">
        <w:rPr>
          <w:rFonts w:asciiTheme="minorBidi" w:hAnsiTheme="minorBidi"/>
          <w:sz w:val="24"/>
          <w:szCs w:val="24"/>
          <w:shd w:val="clear" w:color="auto" w:fill="FFFFFF"/>
        </w:rPr>
        <w:t xml:space="preserve">locating the </w:t>
      </w:r>
      <w:r w:rsidR="006963B9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EC602A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EC602A">
        <w:rPr>
          <w:rFonts w:asciiTheme="minorBidi" w:hAnsiTheme="minorBidi"/>
          <w:sz w:val="24"/>
          <w:szCs w:val="24"/>
          <w:shd w:val="clear" w:color="auto" w:fill="FFFFFF"/>
        </w:rPr>
        <w:t xml:space="preserve"> from the middle to the front (or even back).</w:t>
      </w:r>
    </w:p>
    <w:p w14:paraId="012BC4D2" w14:textId="77777777" w:rsidR="00DD58B2" w:rsidRDefault="00DD58B2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015AC05A" w14:textId="1B97CC34" w:rsidR="00DD58B2" w:rsidRPr="00DD58B2" w:rsidRDefault="00DD58B2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DD58B2">
        <w:rPr>
          <w:rFonts w:asciiTheme="minorBidi" w:hAnsiTheme="minorBidi"/>
          <w:sz w:val="24"/>
          <w:szCs w:val="24"/>
          <w:shd w:val="clear" w:color="auto" w:fill="FFFFFF"/>
        </w:rPr>
        <w:t>Obviously, many Rabbis condemned these moves</w:t>
      </w:r>
      <w:r w:rsidR="006963B9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Pr="00DD58B2">
        <w:rPr>
          <w:rFonts w:asciiTheme="minorBidi" w:hAnsiTheme="minorBidi"/>
          <w:sz w:val="24"/>
          <w:szCs w:val="24"/>
          <w:shd w:val="clear" w:color="auto" w:fill="FFFFFF"/>
        </w:rPr>
        <w:t xml:space="preserve"> and thus the Orthodox </w:t>
      </w:r>
      <w:r w:rsidR="00E35E10">
        <w:rPr>
          <w:rFonts w:asciiTheme="minorBidi" w:hAnsiTheme="minorBidi"/>
          <w:sz w:val="24"/>
          <w:szCs w:val="24"/>
          <w:shd w:val="clear" w:color="auto" w:fill="FFFFFF"/>
        </w:rPr>
        <w:t>M</w:t>
      </w:r>
      <w:r w:rsidR="00E35E10" w:rsidRPr="00DD58B2">
        <w:rPr>
          <w:rFonts w:asciiTheme="minorBidi" w:hAnsiTheme="minorBidi"/>
          <w:sz w:val="24"/>
          <w:szCs w:val="24"/>
          <w:shd w:val="clear" w:color="auto" w:fill="FFFFFF"/>
        </w:rPr>
        <w:t xml:space="preserve">ovement </w:t>
      </w:r>
      <w:r w:rsidRPr="00DD58B2">
        <w:rPr>
          <w:rFonts w:asciiTheme="minorBidi" w:hAnsiTheme="minorBidi"/>
          <w:sz w:val="24"/>
          <w:szCs w:val="24"/>
          <w:shd w:val="clear" w:color="auto" w:fill="FFFFFF"/>
        </w:rPr>
        <w:t xml:space="preserve">began its theological </w:t>
      </w:r>
      <w:r>
        <w:rPr>
          <w:rFonts w:asciiTheme="minorBidi" w:hAnsiTheme="minorBidi"/>
          <w:sz w:val="24"/>
          <w:szCs w:val="24"/>
          <w:shd w:val="clear" w:color="auto" w:fill="FFFFFF"/>
        </w:rPr>
        <w:t>confrontation</w:t>
      </w:r>
      <w:r w:rsidRPr="00DD58B2">
        <w:rPr>
          <w:rFonts w:asciiTheme="minorBidi" w:hAnsiTheme="minorBidi"/>
          <w:sz w:val="24"/>
          <w:szCs w:val="24"/>
          <w:shd w:val="clear" w:color="auto" w:fill="FFFFFF"/>
        </w:rPr>
        <w:t xml:space="preserve"> with the Reform Movement. Changing rituals and traditions of the synagogue </w:t>
      </w:r>
      <w:r w:rsidR="006963B9">
        <w:rPr>
          <w:rFonts w:asciiTheme="minorBidi" w:hAnsiTheme="minorBidi"/>
          <w:sz w:val="24"/>
          <w:szCs w:val="24"/>
          <w:shd w:val="clear" w:color="auto" w:fill="FFFFFF"/>
        </w:rPr>
        <w:t>was</w:t>
      </w:r>
      <w:r w:rsidR="006963B9" w:rsidRPr="00DD58B2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DD58B2">
        <w:rPr>
          <w:rFonts w:asciiTheme="minorBidi" w:hAnsiTheme="minorBidi"/>
          <w:sz w:val="24"/>
          <w:szCs w:val="24"/>
          <w:shd w:val="clear" w:color="auto" w:fill="FFFFFF"/>
        </w:rPr>
        <w:t>frowned upon even if the</w:t>
      </w:r>
      <w:r w:rsidR="002B6A8C">
        <w:rPr>
          <w:rFonts w:asciiTheme="minorBidi" w:hAnsiTheme="minorBidi"/>
          <w:sz w:val="24"/>
          <w:szCs w:val="24"/>
          <w:shd w:val="clear" w:color="auto" w:fill="FFFFFF"/>
        </w:rPr>
        <w:t xml:space="preserve"> original practice</w:t>
      </w:r>
      <w:r w:rsidRPr="00DD58B2">
        <w:rPr>
          <w:rFonts w:asciiTheme="minorBidi" w:hAnsiTheme="minorBidi"/>
          <w:sz w:val="24"/>
          <w:szCs w:val="24"/>
          <w:shd w:val="clear" w:color="auto" w:fill="FFFFFF"/>
        </w:rPr>
        <w:t xml:space="preserve"> did not originate from within classic </w:t>
      </w:r>
      <w:r w:rsidR="006963B9">
        <w:rPr>
          <w:rFonts w:asciiTheme="minorBidi" w:hAnsiTheme="minorBidi"/>
          <w:sz w:val="24"/>
          <w:szCs w:val="24"/>
          <w:shd w:val="clear" w:color="auto" w:fill="FFFFFF"/>
        </w:rPr>
        <w:t>h</w:t>
      </w:r>
      <w:r w:rsidRPr="00DD58B2">
        <w:rPr>
          <w:rFonts w:asciiTheme="minorBidi" w:hAnsiTheme="minorBidi"/>
          <w:sz w:val="24"/>
          <w:szCs w:val="24"/>
          <w:shd w:val="clear" w:color="auto" w:fill="FFFFFF"/>
        </w:rPr>
        <w:t>alakhic sources.</w:t>
      </w:r>
    </w:p>
    <w:p w14:paraId="1BC19C16" w14:textId="1191F2C2" w:rsidR="00EC602A" w:rsidRDefault="00EC602A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34251B40" w14:textId="08AF30D3" w:rsidR="00BF4AF1" w:rsidRDefault="00061D1E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Among the responses from the Orthodox community to these changes, </w:t>
      </w:r>
      <w:r w:rsidR="00BF4AF1"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Rabbi Yisrael David Szered Margulies-Jafe Schlesinger (Hungary,1802-1864) published an entire </w:t>
      </w:r>
      <w:r w:rsidR="00BF4AF1" w:rsidRPr="00BF4AF1">
        <w:rPr>
          <w:rFonts w:asciiTheme="minorBidi" w:hAnsiTheme="minorBidi"/>
          <w:sz w:val="24"/>
          <w:szCs w:val="24"/>
          <w:shd w:val="clear" w:color="auto" w:fill="FFFFFF"/>
        </w:rPr>
        <w:lastRenderedPageBreak/>
        <w:t>book</w:t>
      </w:r>
      <w:r w:rsidR="00E126F2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BF4AF1"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E126F2">
        <w:rPr>
          <w:rFonts w:asciiTheme="minorBidi" w:hAnsiTheme="minorBidi"/>
          <w:sz w:val="24"/>
          <w:szCs w:val="24"/>
          <w:shd w:val="clear" w:color="auto" w:fill="FFFFFF"/>
        </w:rPr>
        <w:t>called</w:t>
      </w:r>
      <w:r w:rsidR="00E126F2"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BF4AF1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Har Tavor</w:t>
      </w:r>
      <w:r w:rsidR="00BF4AF1"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, dedicated solely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 xml:space="preserve">to </w:t>
      </w:r>
      <w:r w:rsidR="00BF4AF1"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the prohibition, according to him, of moving the </w:t>
      </w:r>
      <w:r w:rsidR="006963B9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BF4AF1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BF4AF1"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 to other </w:t>
      </w:r>
      <w:r w:rsidR="00E126F2">
        <w:rPr>
          <w:rFonts w:asciiTheme="minorBidi" w:hAnsiTheme="minorBidi"/>
          <w:sz w:val="24"/>
          <w:szCs w:val="24"/>
          <w:shd w:val="clear" w:color="auto" w:fill="FFFFFF"/>
        </w:rPr>
        <w:t>locations in</w:t>
      </w:r>
      <w:r w:rsidR="00BF4AF1"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 the synagogue.</w:t>
      </w:r>
      <w:r w:rsidR="00BF4AF1" w:rsidRPr="00BF4AF1">
        <w:rPr>
          <w:rFonts w:asciiTheme="minorBidi" w:hAnsiTheme="minorBidi"/>
          <w:sz w:val="24"/>
          <w:szCs w:val="24"/>
          <w:shd w:val="clear" w:color="auto" w:fill="FFFFFF"/>
          <w:vertAlign w:val="superscript"/>
        </w:rPr>
        <w:footnoteReference w:id="2"/>
      </w:r>
    </w:p>
    <w:p w14:paraId="137B53D0" w14:textId="77777777" w:rsidR="00D121FE" w:rsidRPr="00BF4AF1" w:rsidRDefault="00D121FE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2A884F67" w14:textId="2981B8A4" w:rsidR="00C76164" w:rsidRDefault="00BF4AF1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Publishing an entire book on this matter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 xml:space="preserve">reflects </w:t>
      </w:r>
      <w:r w:rsidR="00E126F2">
        <w:rPr>
          <w:rFonts w:asciiTheme="minorBidi" w:hAnsiTheme="minorBidi"/>
          <w:sz w:val="24"/>
          <w:szCs w:val="24"/>
          <w:shd w:val="clear" w:color="auto" w:fill="FFFFFF"/>
        </w:rPr>
        <w:t>the extent to which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this </w:t>
      </w:r>
      <w:r w:rsidR="009B1BE2">
        <w:rPr>
          <w:rFonts w:asciiTheme="minorBidi" w:hAnsiTheme="minorBidi"/>
          <w:sz w:val="24"/>
          <w:szCs w:val="24"/>
          <w:shd w:val="clear" w:color="auto" w:fill="FFFFFF"/>
        </w:rPr>
        <w:t xml:space="preserve">change </w:t>
      </w:r>
      <w:r w:rsidR="009B1BE2" w:rsidRPr="00BF4AF1">
        <w:rPr>
          <w:rFonts w:asciiTheme="minorBidi" w:hAnsiTheme="minorBidi"/>
          <w:sz w:val="24"/>
          <w:szCs w:val="24"/>
          <w:shd w:val="clear" w:color="auto" w:fill="FFFFFF"/>
        </w:rPr>
        <w:t>became</w:t>
      </w:r>
      <w:r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 symbol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 xml:space="preserve">ic </w:t>
      </w:r>
      <w:r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of the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R</w:t>
      </w:r>
      <w:r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eform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M</w:t>
      </w:r>
      <w:r w:rsidRPr="00BF4AF1">
        <w:rPr>
          <w:rFonts w:asciiTheme="minorBidi" w:hAnsiTheme="minorBidi"/>
          <w:sz w:val="24"/>
          <w:szCs w:val="24"/>
          <w:shd w:val="clear" w:color="auto" w:fill="FFFFFF"/>
        </w:rPr>
        <w:t>ovement</w:t>
      </w:r>
      <w:r w:rsidR="00E126F2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 and how the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O</w:t>
      </w:r>
      <w:r w:rsidRPr="00BF4AF1">
        <w:rPr>
          <w:rFonts w:asciiTheme="minorBidi" w:hAnsiTheme="minorBidi"/>
          <w:sz w:val="24"/>
          <w:szCs w:val="24"/>
          <w:shd w:val="clear" w:color="auto" w:fill="FFFFFF"/>
        </w:rPr>
        <w:t xml:space="preserve">rthodox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saw it as a direct threat to traditional Judaism.</w:t>
      </w:r>
    </w:p>
    <w:p w14:paraId="0E93275E" w14:textId="4A5ADB23" w:rsidR="00BF4AF1" w:rsidRPr="00BF4AF1" w:rsidRDefault="00BF4AF1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1E2CC431" w14:textId="3C7A1491" w:rsidR="00F14C8E" w:rsidRPr="0025471E" w:rsidRDefault="0049181C" w:rsidP="0099723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shd w:val="clear" w:color="auto" w:fill="FFFFFF"/>
        </w:rPr>
      </w:pPr>
      <w:r w:rsidRPr="0025471E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Moving the </w:t>
      </w:r>
      <w:r w:rsidR="0025471E" w:rsidRPr="005C75FF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</w:rPr>
        <w:t>Bi</w:t>
      </w:r>
      <w:r w:rsidRPr="005C75FF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</w:rPr>
        <w:t>ma</w:t>
      </w:r>
    </w:p>
    <w:p w14:paraId="2BF3CA1C" w14:textId="5B4A87F2" w:rsidR="0049181C" w:rsidRDefault="0049181C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554E2335" w14:textId="0A1B71E6" w:rsidR="008B4FCB" w:rsidRDefault="008B4FCB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The Rambam </w:t>
      </w:r>
      <w:r w:rsidR="008F44F4">
        <w:rPr>
          <w:rFonts w:asciiTheme="minorBidi" w:hAnsiTheme="minorBidi"/>
          <w:sz w:val="24"/>
          <w:szCs w:val="24"/>
          <w:shd w:val="clear" w:color="auto" w:fill="FFFFFF"/>
        </w:rPr>
        <w:t xml:space="preserve">lists </w:t>
      </w:r>
      <w:r w:rsidR="00F35A84">
        <w:rPr>
          <w:rFonts w:asciiTheme="minorBidi" w:hAnsiTheme="minorBidi"/>
          <w:sz w:val="24"/>
          <w:szCs w:val="24"/>
          <w:shd w:val="clear" w:color="auto" w:fill="FFFFFF"/>
        </w:rPr>
        <w:t xml:space="preserve">customs regarding the correct </w:t>
      </w:r>
      <w:r>
        <w:rPr>
          <w:rFonts w:asciiTheme="minorBidi" w:hAnsiTheme="minorBidi"/>
          <w:sz w:val="24"/>
          <w:szCs w:val="24"/>
          <w:shd w:val="clear" w:color="auto" w:fill="FFFFFF"/>
        </w:rPr>
        <w:t>structure of the synagogue. Among his instructions</w:t>
      </w:r>
      <w:r w:rsidR="00E126F2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he rules that:</w:t>
      </w:r>
    </w:p>
    <w:p w14:paraId="0520D8B8" w14:textId="77777777" w:rsidR="00F35A84" w:rsidRDefault="00F35A84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3C8012E2" w14:textId="7C6E9DDE" w:rsidR="008B4FCB" w:rsidRDefault="008B4FCB" w:rsidP="0099723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8B4FCB">
        <w:rPr>
          <w:rFonts w:asciiTheme="minorBidi" w:hAnsiTheme="minorBidi"/>
          <w:sz w:val="24"/>
          <w:szCs w:val="24"/>
          <w:shd w:val="clear" w:color="auto" w:fill="FFFFFF"/>
        </w:rPr>
        <w:t>A platform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(</w:t>
      </w:r>
      <w:r w:rsidR="00E126F2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) </w:t>
      </w:r>
      <w:r w:rsidRPr="008B4FCB">
        <w:rPr>
          <w:rFonts w:asciiTheme="minorBidi" w:hAnsiTheme="minorBidi"/>
          <w:sz w:val="24"/>
          <w:szCs w:val="24"/>
          <w:shd w:val="clear" w:color="auto" w:fill="FFFFFF"/>
        </w:rPr>
        <w:t xml:space="preserve">is placed in the center of the hall, so that the one who reads the Torah or one who gives a sermon can stand on it, so that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everyone</w:t>
      </w:r>
      <w:r w:rsidRPr="008B4FCB">
        <w:rPr>
          <w:rFonts w:asciiTheme="minorBidi" w:hAnsiTheme="minorBidi"/>
          <w:sz w:val="24"/>
          <w:szCs w:val="24"/>
          <w:shd w:val="clear" w:color="auto" w:fill="FFFFFF"/>
        </w:rPr>
        <w:t xml:space="preserve"> will hear him.</w:t>
      </w:r>
      <w:r w:rsidR="00F35A84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3"/>
      </w:r>
    </w:p>
    <w:p w14:paraId="396B6D6E" w14:textId="77777777" w:rsidR="00F35A84" w:rsidRDefault="00F35A84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</w:p>
    <w:p w14:paraId="0910BD18" w14:textId="7F44BB68" w:rsidR="00F35A84" w:rsidRDefault="00F35A84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Notice that the Rambam </w:t>
      </w:r>
      <w:proofErr w:type="gramStart"/>
      <w:r w:rsidR="00E126F2">
        <w:rPr>
          <w:rFonts w:asciiTheme="minorBidi" w:hAnsiTheme="minorBidi"/>
          <w:sz w:val="24"/>
          <w:szCs w:val="24"/>
          <w:shd w:val="clear" w:color="auto" w:fill="FFFFFF"/>
        </w:rPr>
        <w:t xml:space="preserve">offers </w:t>
      </w:r>
      <w:r>
        <w:rPr>
          <w:rFonts w:asciiTheme="minorBidi" w:hAnsiTheme="minorBidi"/>
          <w:sz w:val="24"/>
          <w:szCs w:val="24"/>
          <w:shd w:val="clear" w:color="auto" w:fill="FFFFFF"/>
        </w:rPr>
        <w:t>an explanation for</w:t>
      </w:r>
      <w:proofErr w:type="gramEnd"/>
      <w:r>
        <w:rPr>
          <w:rFonts w:asciiTheme="minorBidi" w:hAnsiTheme="minorBidi"/>
          <w:sz w:val="24"/>
          <w:szCs w:val="24"/>
          <w:shd w:val="clear" w:color="auto" w:fill="FFFFFF"/>
        </w:rPr>
        <w:t xml:space="preserve"> placing the </w:t>
      </w:r>
      <w:r w:rsidR="00E126F2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in the middle of the synagogue. As this explanation is a practical one, it seems that there is no reason to prohibit moving the </w:t>
      </w:r>
      <w:r w:rsidR="00E126F2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to the front or back of the </w:t>
      </w:r>
      <w:r w:rsidR="008F44F4">
        <w:rPr>
          <w:rFonts w:asciiTheme="minorBidi" w:hAnsiTheme="minorBidi"/>
          <w:sz w:val="24"/>
          <w:szCs w:val="24"/>
          <w:shd w:val="clear" w:color="auto" w:fill="FFFFFF"/>
        </w:rPr>
        <w:t>sanctuary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if it serves the community better.</w:t>
      </w:r>
    </w:p>
    <w:p w14:paraId="2B599EF0" w14:textId="77777777" w:rsidR="00D121FE" w:rsidRDefault="00D121FE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513C5310" w14:textId="0AD6813E" w:rsidR="00F35A84" w:rsidRDefault="00F35A84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Following this </w:t>
      </w:r>
      <w:r w:rsidR="008F44F4">
        <w:rPr>
          <w:rFonts w:asciiTheme="minorBidi" w:hAnsiTheme="minorBidi"/>
          <w:sz w:val="24"/>
          <w:szCs w:val="24"/>
          <w:shd w:val="clear" w:color="auto" w:fill="FFFFFF"/>
        </w:rPr>
        <w:t>logic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, Rav Yosef Karo explains 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 xml:space="preserve">in his commentary on the Rambam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why </w:t>
      </w:r>
      <w:r w:rsidR="00983A51">
        <w:rPr>
          <w:rFonts w:asciiTheme="minorBidi" w:hAnsiTheme="minorBidi"/>
          <w:sz w:val="24"/>
          <w:szCs w:val="24"/>
          <w:shd w:val="clear" w:color="auto" w:fill="FFFFFF"/>
        </w:rPr>
        <w:t xml:space="preserve">certain synagogues in his time position the </w:t>
      </w:r>
      <w:r w:rsidR="00E126F2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983A51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983A51">
        <w:rPr>
          <w:rFonts w:asciiTheme="minorBidi" w:hAnsiTheme="minorBidi"/>
          <w:sz w:val="24"/>
          <w:szCs w:val="24"/>
          <w:shd w:val="clear" w:color="auto" w:fill="FFFFFF"/>
        </w:rPr>
        <w:t xml:space="preserve"> in the back:</w:t>
      </w:r>
    </w:p>
    <w:p w14:paraId="4B01B0B2" w14:textId="77777777" w:rsidR="00D121FE" w:rsidRDefault="00D121FE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5486C01C" w14:textId="70952592" w:rsidR="00983A51" w:rsidRPr="008B4FCB" w:rsidRDefault="00983A51" w:rsidP="00997232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shd w:val="clear" w:color="auto" w:fill="FFFFFF"/>
          <w:rtl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The positioning 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 xml:space="preserve">[of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the </w:t>
      </w:r>
      <w:r w:rsidR="00E126F2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>]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in the middle is not obligatory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>…in our days</w:t>
      </w:r>
      <w:r w:rsidR="00E126F2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 xml:space="preserve">when </w:t>
      </w:r>
      <w:r w:rsidR="00E35E10">
        <w:rPr>
          <w:rFonts w:asciiTheme="minorBidi" w:hAnsiTheme="minorBidi"/>
          <w:sz w:val="24"/>
          <w:szCs w:val="24"/>
          <w:shd w:val="clear" w:color="auto" w:fill="FFFFFF"/>
        </w:rPr>
        <w:t xml:space="preserve">due to our sins, 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>our synagogues are small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>[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>er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>]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 xml:space="preserve"> and the people can hear 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>[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>the prayers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>]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 xml:space="preserve">, it is </w:t>
      </w:r>
      <w:r w:rsidR="00E35E10">
        <w:rPr>
          <w:rFonts w:asciiTheme="minorBidi" w:hAnsiTheme="minorBidi"/>
          <w:sz w:val="24"/>
          <w:szCs w:val="24"/>
          <w:shd w:val="clear" w:color="auto" w:fill="FFFFFF"/>
        </w:rPr>
        <w:t xml:space="preserve">more attractive 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 xml:space="preserve">to position the </w:t>
      </w:r>
      <w:r w:rsidR="00E126F2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8F2214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 xml:space="preserve"> on the side rather </w:t>
      </w:r>
      <w:r w:rsidR="009B1BE2">
        <w:rPr>
          <w:rFonts w:asciiTheme="minorBidi" w:hAnsiTheme="minorBidi"/>
          <w:sz w:val="24"/>
          <w:szCs w:val="24"/>
          <w:shd w:val="clear" w:color="auto" w:fill="FFFFFF"/>
        </w:rPr>
        <w:t>than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 xml:space="preserve"> in the </w:t>
      </w:r>
      <w:r w:rsidR="009B1BE2">
        <w:rPr>
          <w:rFonts w:asciiTheme="minorBidi" w:hAnsiTheme="minorBidi"/>
          <w:sz w:val="24"/>
          <w:szCs w:val="24"/>
          <w:shd w:val="clear" w:color="auto" w:fill="FFFFFF"/>
        </w:rPr>
        <w:t>middle</w:t>
      </w:r>
      <w:r w:rsidR="008F2214">
        <w:rPr>
          <w:rFonts w:asciiTheme="minorBidi" w:hAnsiTheme="minorBidi"/>
          <w:sz w:val="24"/>
          <w:szCs w:val="24"/>
          <w:shd w:val="clear" w:color="auto" w:fill="FFFFFF"/>
        </w:rPr>
        <w:t>.</w:t>
      </w:r>
      <w:r w:rsidR="00E20023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4"/>
      </w:r>
    </w:p>
    <w:p w14:paraId="50A0BE4F" w14:textId="423CD2CC" w:rsidR="008B4FCB" w:rsidRDefault="008B4FCB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5D649DA8" w14:textId="21608A18" w:rsidR="009963E5" w:rsidRDefault="008F44F4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Rav Karo, true to this comment, does not mention 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 xml:space="preserve">the positioning of the </w:t>
      </w:r>
      <w:r w:rsidR="004A7C88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in his </w:t>
      </w:r>
      <w:r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Shulchan Aru</w:t>
      </w:r>
      <w:r w:rsidR="00E126F2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k</w:t>
      </w:r>
      <w:r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h</w:t>
      </w:r>
      <w:r>
        <w:rPr>
          <w:rFonts w:asciiTheme="minorBidi" w:hAnsiTheme="minorBidi"/>
          <w:sz w:val="24"/>
          <w:szCs w:val="24"/>
          <w:shd w:val="clear" w:color="auto" w:fill="FFFFFF"/>
        </w:rPr>
        <w:t>. However, the Rema does.</w:t>
      </w:r>
      <w:r w:rsidR="003F46A8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5"/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The question is whether</w:t>
      </w:r>
      <w:r w:rsidR="009963E5">
        <w:rPr>
          <w:rFonts w:asciiTheme="minorBidi" w:hAnsiTheme="minorBidi"/>
          <w:sz w:val="24"/>
          <w:szCs w:val="24"/>
          <w:shd w:val="clear" w:color="auto" w:fill="FFFFFF"/>
        </w:rPr>
        <w:t xml:space="preserve"> the Rema thought differently 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>than</w:t>
      </w:r>
      <w:r w:rsidR="009963E5">
        <w:rPr>
          <w:rFonts w:asciiTheme="minorBidi" w:hAnsiTheme="minorBidi"/>
          <w:sz w:val="24"/>
          <w:szCs w:val="24"/>
          <w:shd w:val="clear" w:color="auto" w:fill="FFFFFF"/>
        </w:rPr>
        <w:t xml:space="preserve"> Rav Yosef Karo or </w:t>
      </w:r>
      <w:r w:rsidR="004A7C88">
        <w:rPr>
          <w:rFonts w:asciiTheme="minorBidi" w:hAnsiTheme="minorBidi"/>
          <w:sz w:val="24"/>
          <w:szCs w:val="24"/>
          <w:shd w:val="clear" w:color="auto" w:fill="FFFFFF"/>
        </w:rPr>
        <w:t>agreed that it was merely a practical matter</w:t>
      </w:r>
      <w:r w:rsidR="009963E5">
        <w:rPr>
          <w:rFonts w:asciiTheme="minorBidi" w:hAnsiTheme="minorBidi"/>
          <w:sz w:val="24"/>
          <w:szCs w:val="24"/>
          <w:shd w:val="clear" w:color="auto" w:fill="FFFFFF"/>
        </w:rPr>
        <w:t>. In other words</w:t>
      </w:r>
      <w:r w:rsidR="00FF1122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9963E5">
        <w:rPr>
          <w:rFonts w:asciiTheme="minorBidi" w:hAnsiTheme="minorBidi"/>
          <w:sz w:val="24"/>
          <w:szCs w:val="24"/>
          <w:shd w:val="clear" w:color="auto" w:fill="FFFFFF"/>
        </w:rPr>
        <w:t xml:space="preserve"> is moving the </w:t>
      </w:r>
      <w:r w:rsidR="00E20023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9963E5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9963E5">
        <w:rPr>
          <w:rFonts w:asciiTheme="minorBidi" w:hAnsiTheme="minorBidi"/>
          <w:sz w:val="24"/>
          <w:szCs w:val="24"/>
          <w:shd w:val="clear" w:color="auto" w:fill="FFFFFF"/>
        </w:rPr>
        <w:t xml:space="preserve"> in a </w:t>
      </w:r>
      <w:r w:rsidR="00C76164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9963E5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e</w:t>
      </w:r>
      <w:r w:rsidR="00E20023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</w:t>
      </w:r>
      <w:r w:rsidR="009963E5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t K</w:t>
      </w:r>
      <w:r w:rsidR="00E20023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e</w:t>
      </w:r>
      <w:r w:rsidR="009963E5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nesset</w:t>
      </w:r>
      <w:r w:rsidR="009963E5">
        <w:rPr>
          <w:rFonts w:asciiTheme="minorBidi" w:hAnsiTheme="minorBidi"/>
          <w:sz w:val="24"/>
          <w:szCs w:val="24"/>
          <w:shd w:val="clear" w:color="auto" w:fill="FFFFFF"/>
        </w:rPr>
        <w:t xml:space="preserve"> permitted or not?</w:t>
      </w:r>
    </w:p>
    <w:p w14:paraId="2C083BAA" w14:textId="78011A82" w:rsidR="008B4FCB" w:rsidRDefault="008B4FCB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70D87877" w14:textId="79DF1FB1" w:rsidR="00DE4FC4" w:rsidRPr="00DE4FC4" w:rsidRDefault="00DE4FC4" w:rsidP="0099723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shd w:val="clear" w:color="auto" w:fill="FFFFFF"/>
        </w:rPr>
      </w:pPr>
      <w:r w:rsidRPr="00DE4FC4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 xml:space="preserve">The Symbolism of the </w:t>
      </w:r>
      <w:r w:rsidRPr="005C75FF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</w:rPr>
        <w:t>Bima</w:t>
      </w:r>
    </w:p>
    <w:p w14:paraId="4A0D5FC0" w14:textId="77777777" w:rsidR="00D121FE" w:rsidRDefault="00D121FE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39F5FE25" w14:textId="1F64A39C" w:rsidR="00CC787C" w:rsidRDefault="009963E5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Rav Moshe Sofer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9F2266" w:rsidRPr="009F2266">
        <w:rPr>
          <w:rFonts w:asciiTheme="minorBidi" w:hAnsiTheme="minorBidi"/>
          <w:sz w:val="24"/>
          <w:szCs w:val="24"/>
          <w:shd w:val="clear" w:color="auto" w:fill="FFFFFF"/>
        </w:rPr>
        <w:t>(</w:t>
      </w:r>
      <w:r w:rsidR="00061D1E" w:rsidRPr="00A03664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Chatam Sofer</w:t>
      </w:r>
      <w:r w:rsidR="00061D1E">
        <w:rPr>
          <w:rFonts w:asciiTheme="minorBidi" w:hAnsiTheme="minorBidi"/>
          <w:sz w:val="24"/>
          <w:szCs w:val="24"/>
          <w:shd w:val="clear" w:color="auto" w:fill="FFFFFF"/>
        </w:rPr>
        <w:t xml:space="preserve">, </w:t>
      </w:r>
      <w:r w:rsidR="009F2266" w:rsidRPr="009F2266">
        <w:rPr>
          <w:rFonts w:asciiTheme="minorBidi" w:hAnsiTheme="minorBidi"/>
          <w:sz w:val="24"/>
          <w:szCs w:val="24"/>
          <w:shd w:val="clear" w:color="auto" w:fill="FFFFFF"/>
        </w:rPr>
        <w:t>1762–1839)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 xml:space="preserve"> prohibited changing the </w:t>
      </w:r>
      <w:r w:rsidR="00061D1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9F2266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ima’s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 xml:space="preserve"> position</w:t>
      </w:r>
      <w:r w:rsidR="00061D1E">
        <w:rPr>
          <w:rFonts w:asciiTheme="minorBidi" w:hAnsiTheme="minorBidi"/>
          <w:sz w:val="24"/>
          <w:szCs w:val="24"/>
          <w:shd w:val="clear" w:color="auto" w:fill="FFFFFF"/>
        </w:rPr>
        <w:t xml:space="preserve"> and offered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 xml:space="preserve"> an original explanation for this ruling. His </w:t>
      </w:r>
      <w:r w:rsidR="00A63D8C">
        <w:rPr>
          <w:rFonts w:asciiTheme="minorBidi" w:hAnsiTheme="minorBidi"/>
          <w:sz w:val="24"/>
          <w:szCs w:val="24"/>
          <w:shd w:val="clear" w:color="auto" w:fill="FFFFFF"/>
        </w:rPr>
        <w:t>reason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 xml:space="preserve"> is</w:t>
      </w:r>
      <w:r w:rsidR="00CC787C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A63D8C">
        <w:rPr>
          <w:rFonts w:asciiTheme="minorBidi" w:hAnsiTheme="minorBidi"/>
          <w:sz w:val="24"/>
          <w:szCs w:val="24"/>
          <w:shd w:val="clear" w:color="auto" w:fill="FFFFFF"/>
        </w:rPr>
        <w:t xml:space="preserve">that the </w:t>
      </w:r>
      <w:r w:rsidR="00061D1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A63D8C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A63D8C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9B1BE2">
        <w:rPr>
          <w:rFonts w:asciiTheme="minorBidi" w:hAnsiTheme="minorBidi"/>
          <w:sz w:val="24"/>
          <w:szCs w:val="24"/>
          <w:shd w:val="clear" w:color="auto" w:fill="FFFFFF"/>
        </w:rPr>
        <w:t>s</w:t>
      </w:r>
      <w:r w:rsidR="00CC787C">
        <w:rPr>
          <w:rFonts w:asciiTheme="minorBidi" w:hAnsiTheme="minorBidi"/>
          <w:sz w:val="24"/>
          <w:szCs w:val="24"/>
          <w:shd w:val="clear" w:color="auto" w:fill="FFFFFF"/>
        </w:rPr>
        <w:t xml:space="preserve">erves as a replacement </w:t>
      </w:r>
      <w:r w:rsidR="00ED0637">
        <w:rPr>
          <w:rFonts w:asciiTheme="minorBidi" w:hAnsiTheme="minorBidi"/>
          <w:sz w:val="24"/>
          <w:szCs w:val="24"/>
          <w:shd w:val="clear" w:color="auto" w:fill="FFFFFF"/>
        </w:rPr>
        <w:t xml:space="preserve">for </w:t>
      </w:r>
      <w:r w:rsidR="00A63D8C">
        <w:rPr>
          <w:rFonts w:asciiTheme="minorBidi" w:hAnsiTheme="minorBidi"/>
          <w:sz w:val="24"/>
          <w:szCs w:val="24"/>
          <w:shd w:val="clear" w:color="auto" w:fill="FFFFFF"/>
        </w:rPr>
        <w:t xml:space="preserve">the </w:t>
      </w:r>
      <w:r w:rsidR="00ED0637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m</w:t>
      </w:r>
      <w:r w:rsidR="00ED0637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izbe’ach</w:t>
      </w:r>
      <w:r w:rsidR="00ED0637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FF1122">
        <w:rPr>
          <w:rFonts w:asciiTheme="minorBidi" w:hAnsiTheme="minorBidi"/>
          <w:sz w:val="24"/>
          <w:szCs w:val="24"/>
          <w:shd w:val="clear" w:color="auto" w:fill="FFFFFF"/>
        </w:rPr>
        <w:t>(</w:t>
      </w:r>
      <w:r w:rsidR="00A63D8C">
        <w:rPr>
          <w:rFonts w:asciiTheme="minorBidi" w:hAnsiTheme="minorBidi"/>
          <w:sz w:val="24"/>
          <w:szCs w:val="24"/>
          <w:shd w:val="clear" w:color="auto" w:fill="FFFFFF"/>
        </w:rPr>
        <w:t>altar</w:t>
      </w:r>
      <w:r w:rsidR="00FF1122">
        <w:rPr>
          <w:rFonts w:asciiTheme="minorBidi" w:hAnsiTheme="minorBidi"/>
          <w:sz w:val="24"/>
          <w:szCs w:val="24"/>
          <w:shd w:val="clear" w:color="auto" w:fill="FFFFFF"/>
        </w:rPr>
        <w:t>)</w:t>
      </w:r>
      <w:r w:rsidR="00061D1E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A63D8C">
        <w:rPr>
          <w:rFonts w:asciiTheme="minorBidi" w:hAnsiTheme="minorBidi"/>
          <w:sz w:val="24"/>
          <w:szCs w:val="24"/>
          <w:shd w:val="clear" w:color="auto" w:fill="FFFFFF"/>
        </w:rPr>
        <w:t xml:space="preserve"> which was positioned in the middle of the Temple. </w:t>
      </w:r>
    </w:p>
    <w:p w14:paraId="498BFC11" w14:textId="77777777" w:rsidR="00CC787C" w:rsidRDefault="00CC787C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5D62DD51" w14:textId="22E7500A" w:rsidR="009963E5" w:rsidRDefault="00A63D8C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This idea follows </w:t>
      </w:r>
      <w:r w:rsidRPr="00A63D8C">
        <w:rPr>
          <w:rFonts w:asciiTheme="minorBidi" w:hAnsiTheme="minorBidi"/>
          <w:sz w:val="24"/>
          <w:szCs w:val="24"/>
          <w:shd w:val="clear" w:color="auto" w:fill="FFFFFF"/>
        </w:rPr>
        <w:t>the rationale that a synagogue is a “mini</w:t>
      </w:r>
      <w:r w:rsidR="00061D1E">
        <w:rPr>
          <w:rFonts w:asciiTheme="minorBidi" w:hAnsiTheme="minorBidi"/>
          <w:sz w:val="24"/>
          <w:szCs w:val="24"/>
          <w:shd w:val="clear" w:color="auto" w:fill="FFFFFF"/>
        </w:rPr>
        <w:t>-</w:t>
      </w:r>
      <w:r w:rsidR="00F91AD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m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ikdash</w:t>
      </w:r>
      <w:r w:rsidRPr="00A63D8C">
        <w:rPr>
          <w:rFonts w:asciiTheme="minorBidi" w:hAnsiTheme="minorBidi"/>
          <w:sz w:val="24"/>
          <w:szCs w:val="24"/>
          <w:shd w:val="clear" w:color="auto" w:fill="FFFFFF"/>
        </w:rPr>
        <w:t xml:space="preserve">” and built 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>as a replica of</w:t>
      </w:r>
      <w:r w:rsidRPr="00A63D8C">
        <w:rPr>
          <w:rFonts w:asciiTheme="minorBidi" w:hAnsiTheme="minorBidi"/>
          <w:sz w:val="24"/>
          <w:szCs w:val="24"/>
          <w:shd w:val="clear" w:color="auto" w:fill="FFFFFF"/>
        </w:rPr>
        <w:t xml:space="preserve"> the 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Be</w:t>
      </w:r>
      <w:r w:rsidR="00061D1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 xml:space="preserve">t </w:t>
      </w:r>
      <w:r w:rsidR="00F91AD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ha-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Mikdash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. The </w:t>
      </w:r>
      <w:r w:rsidR="00F91ADD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 xml:space="preserve">aron </w:t>
      </w:r>
      <w:r w:rsidR="00F91AD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ha-</w:t>
      </w:r>
      <w:r w:rsidR="00F91ADD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kodesh</w:t>
      </w:r>
      <w:r w:rsidR="00F91ADD">
        <w:rPr>
          <w:rFonts w:asciiTheme="minorBidi" w:hAnsiTheme="minorBidi"/>
          <w:sz w:val="24"/>
          <w:szCs w:val="24"/>
          <w:shd w:val="clear" w:color="auto" w:fill="FFFFFF"/>
        </w:rPr>
        <w:t xml:space="preserve"> (ark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>)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with the Torah in it, the </w:t>
      </w:r>
      <w:r w:rsidR="00A31430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ner tamid</w:t>
      </w:r>
      <w:r w:rsidR="00A31430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>(the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 xml:space="preserve"> cons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tant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 xml:space="preserve"> light above the </w:t>
      </w:r>
      <w:r w:rsidR="00F91ADD">
        <w:rPr>
          <w:rFonts w:asciiTheme="minorBidi" w:hAnsiTheme="minorBidi"/>
          <w:sz w:val="24"/>
          <w:szCs w:val="24"/>
          <w:shd w:val="clear" w:color="auto" w:fill="FFFFFF"/>
        </w:rPr>
        <w:t>a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>rk)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, and even the </w:t>
      </w:r>
      <w:r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mechitza</w:t>
      </w:r>
      <w:r w:rsidR="009F2266">
        <w:rPr>
          <w:rFonts w:asciiTheme="minorBidi" w:hAnsiTheme="minorBidi"/>
          <w:sz w:val="24"/>
          <w:szCs w:val="24"/>
          <w:shd w:val="clear" w:color="auto" w:fill="FFFFFF"/>
        </w:rPr>
        <w:t xml:space="preserve"> (partition)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between men and women</w:t>
      </w:r>
      <w:r w:rsidR="00061D1E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are all taken from the original 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Be</w:t>
      </w:r>
      <w:r w:rsidR="00061D1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 xml:space="preserve">t </w:t>
      </w:r>
      <w:r w:rsidR="00F91AD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ha-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Mikdash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. The </w:t>
      </w:r>
      <w:r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Chatam Sofer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supports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this idea by </w:t>
      </w:r>
      <w:r>
        <w:rPr>
          <w:rFonts w:asciiTheme="minorBidi" w:hAnsiTheme="minorBidi"/>
          <w:sz w:val="24"/>
          <w:szCs w:val="24"/>
          <w:shd w:val="clear" w:color="auto" w:fill="FFFFFF"/>
        </w:rPr>
        <w:lastRenderedPageBreak/>
        <w:t xml:space="preserve">mentioning the custom of circling the </w:t>
      </w:r>
      <w:r w:rsidR="00061D1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with the </w:t>
      </w:r>
      <w:r w:rsidR="00A31430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arba minim</w:t>
      </w:r>
      <w:r w:rsidR="00A31430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/>
          <w:sz w:val="24"/>
          <w:szCs w:val="24"/>
          <w:shd w:val="clear" w:color="auto" w:fill="FFFFFF"/>
        </w:rPr>
        <w:t>during Sukkot</w:t>
      </w:r>
      <w:r w:rsidR="00061D1E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which </w:t>
      </w:r>
      <w:r w:rsidR="00061D1E">
        <w:rPr>
          <w:rFonts w:asciiTheme="minorBidi" w:hAnsiTheme="minorBidi"/>
          <w:sz w:val="24"/>
          <w:szCs w:val="24"/>
          <w:shd w:val="clear" w:color="auto" w:fill="FFFFFF"/>
        </w:rPr>
        <w:t xml:space="preserve">was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originally done </w:t>
      </w:r>
      <w:r w:rsidR="00FF1122">
        <w:rPr>
          <w:rFonts w:asciiTheme="minorBidi" w:hAnsiTheme="minorBidi"/>
          <w:sz w:val="24"/>
          <w:szCs w:val="24"/>
          <w:shd w:val="clear" w:color="auto" w:fill="FFFFFF"/>
        </w:rPr>
        <w:t xml:space="preserve">around the </w:t>
      </w:r>
      <w:r w:rsidR="00A31430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m</w:t>
      </w:r>
      <w:r w:rsidR="00A31430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izbe</w:t>
      </w:r>
      <w:r w:rsidR="00A31430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’</w:t>
      </w:r>
      <w:r w:rsidR="00A31430" w:rsidRPr="00D121FE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ach</w:t>
      </w:r>
      <w:r>
        <w:rPr>
          <w:rFonts w:asciiTheme="minorBidi" w:hAnsiTheme="minorBidi"/>
          <w:sz w:val="24"/>
          <w:szCs w:val="24"/>
          <w:shd w:val="clear" w:color="auto" w:fill="FFFFFF"/>
        </w:rPr>
        <w:t>.</w:t>
      </w:r>
      <w:r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6"/>
      </w:r>
    </w:p>
    <w:p w14:paraId="6110E547" w14:textId="6038D0CC" w:rsidR="009F2266" w:rsidRDefault="009F2266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39F14C65" w14:textId="4852B653" w:rsidR="00FF1122" w:rsidRDefault="009F2266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334261">
        <w:rPr>
          <w:rFonts w:asciiTheme="minorBidi" w:hAnsiTheme="minorBidi"/>
          <w:sz w:val="24"/>
          <w:szCs w:val="24"/>
          <w:shd w:val="clear" w:color="auto" w:fill="FFFFFF"/>
        </w:rPr>
        <w:t xml:space="preserve">Rav Naftali </w:t>
      </w:r>
      <w:r w:rsidR="00457258">
        <w:rPr>
          <w:rFonts w:asciiTheme="minorBidi" w:hAnsiTheme="minorBidi"/>
          <w:sz w:val="24"/>
          <w:szCs w:val="24"/>
          <w:shd w:val="clear" w:color="auto" w:fill="FFFFFF"/>
        </w:rPr>
        <w:t>Tz</w:t>
      </w:r>
      <w:r w:rsidRPr="00334261">
        <w:rPr>
          <w:rFonts w:asciiTheme="minorBidi" w:hAnsiTheme="minorBidi"/>
          <w:sz w:val="24"/>
          <w:szCs w:val="24"/>
          <w:shd w:val="clear" w:color="auto" w:fill="FFFFFF"/>
        </w:rPr>
        <w:t>vi Yehuda Berlin</w:t>
      </w:r>
      <w:r w:rsidRPr="009F2266">
        <w:rPr>
          <w:rFonts w:asciiTheme="minorBidi" w:hAnsiTheme="minorBidi"/>
          <w:sz w:val="24"/>
          <w:szCs w:val="24"/>
          <w:shd w:val="clear" w:color="auto" w:fill="FFFFFF"/>
        </w:rPr>
        <w:t> (1816 –1893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) 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also prohibited the move </w:t>
      </w:r>
      <w:r w:rsidR="00457258">
        <w:rPr>
          <w:rFonts w:asciiTheme="minorBidi" w:hAnsiTheme="minorBidi"/>
          <w:sz w:val="24"/>
          <w:szCs w:val="24"/>
          <w:shd w:val="clear" w:color="auto" w:fill="FFFFFF"/>
        </w:rPr>
        <w:t>for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 the same reason</w:t>
      </w:r>
      <w:r w:rsidR="00457258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 that the </w:t>
      </w:r>
      <w:r w:rsidR="00457258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334261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 serves as a replacement for the </w:t>
      </w:r>
      <w:r w:rsidR="00A31430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m</w:t>
      </w:r>
      <w:r w:rsidR="00A31430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izbe’ach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.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H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e writes that only recently did he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 xml:space="preserve">discover 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the same </w:t>
      </w:r>
      <w:r w:rsidR="00C76164">
        <w:rPr>
          <w:rFonts w:asciiTheme="minorBidi" w:hAnsiTheme="minorBidi"/>
          <w:sz w:val="24"/>
          <w:szCs w:val="24"/>
          <w:shd w:val="clear" w:color="auto" w:fill="FFFFFF"/>
        </w:rPr>
        <w:t>explanation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 in the works of the </w:t>
      </w:r>
      <w:r w:rsidR="00334261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Chatam Sofer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7F2CCD">
        <w:rPr>
          <w:rFonts w:asciiTheme="minorBidi" w:hAnsiTheme="minorBidi"/>
          <w:sz w:val="24"/>
          <w:szCs w:val="24"/>
          <w:shd w:val="clear" w:color="auto" w:fill="FFFFFF"/>
        </w:rPr>
        <w:t>Interestingly, however</w:t>
      </w:r>
      <w:r w:rsidR="00B6567C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he </w:t>
      </w:r>
      <w:r w:rsidR="007F2CCD">
        <w:rPr>
          <w:rFonts w:asciiTheme="minorBidi" w:hAnsiTheme="minorBidi"/>
          <w:sz w:val="24"/>
          <w:szCs w:val="24"/>
          <w:shd w:val="clear" w:color="auto" w:fill="FFFFFF"/>
        </w:rPr>
        <w:t>gives a different reason</w:t>
      </w:r>
      <w:r w:rsidR="007F2CCD" w:rsidRPr="007F2CCD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7F2CCD">
        <w:rPr>
          <w:rFonts w:asciiTheme="minorBidi" w:hAnsiTheme="minorBidi"/>
          <w:sz w:val="24"/>
          <w:szCs w:val="24"/>
          <w:shd w:val="clear" w:color="auto" w:fill="FFFFFF"/>
        </w:rPr>
        <w:t xml:space="preserve">in the beginning of his </w:t>
      </w:r>
      <w:r w:rsidR="007F2CCD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t</w:t>
      </w:r>
      <w:r w:rsidR="007F2CCD" w:rsidRPr="008F079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eshuva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>: “</w:t>
      </w:r>
      <w:r w:rsidR="007F2CC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c</w:t>
      </w:r>
      <w:r w:rsidR="00334261" w:rsidRPr="0033426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 xml:space="preserve">hadash </w:t>
      </w:r>
      <w:r w:rsidR="007F2CC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a</w:t>
      </w:r>
      <w:r w:rsidR="00334261" w:rsidRPr="0033426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 xml:space="preserve">ssur min </w:t>
      </w:r>
      <w:r w:rsidR="007F2CC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h</w:t>
      </w:r>
      <w:r w:rsidR="00334261" w:rsidRPr="0033426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a</w:t>
      </w:r>
      <w:r w:rsid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-</w:t>
      </w:r>
      <w:r w:rsidR="00334261" w:rsidRPr="0033426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Torah</w:t>
      </w:r>
      <w:r w:rsid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,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” a phrase normally associated with the </w:t>
      </w:r>
      <w:r w:rsidR="00334261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Chatam Sofer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A31430">
        <w:rPr>
          <w:rFonts w:asciiTheme="minorBidi" w:hAnsiTheme="minorBidi"/>
          <w:sz w:val="24"/>
          <w:szCs w:val="24"/>
          <w:shd w:val="clear" w:color="auto" w:fill="FFFFFF"/>
        </w:rPr>
        <w:t xml:space="preserve">that is applied to 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 xml:space="preserve">prohibit any type of change to traditional </w:t>
      </w:r>
      <w:r w:rsidR="00B6567C">
        <w:rPr>
          <w:rFonts w:asciiTheme="minorBidi" w:hAnsiTheme="minorBidi"/>
          <w:sz w:val="24"/>
          <w:szCs w:val="24"/>
          <w:shd w:val="clear" w:color="auto" w:fill="FFFFFF"/>
        </w:rPr>
        <w:t>Judaism</w:t>
      </w:r>
      <w:r w:rsidR="00334261">
        <w:rPr>
          <w:rFonts w:asciiTheme="minorBidi" w:hAnsiTheme="minorBidi"/>
          <w:sz w:val="24"/>
          <w:szCs w:val="24"/>
          <w:shd w:val="clear" w:color="auto" w:fill="FFFFFF"/>
        </w:rPr>
        <w:t>.</w:t>
      </w:r>
      <w:r w:rsidR="00334261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7"/>
      </w:r>
    </w:p>
    <w:p w14:paraId="064228C8" w14:textId="33233721" w:rsidR="00B6567C" w:rsidRDefault="00B6567C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3B68FD44" w14:textId="0EAAA2AE" w:rsidR="00942A85" w:rsidRPr="000A3411" w:rsidRDefault="00942A85" w:rsidP="00997232">
      <w:pPr>
        <w:spacing w:after="0" w:line="240" w:lineRule="auto"/>
        <w:jc w:val="both"/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</w:rPr>
      </w:pPr>
      <w:r w:rsidRPr="000A3411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</w:rPr>
        <w:t>Chukkot Ha</w:t>
      </w:r>
      <w:r w:rsidR="000A3411" w:rsidRPr="000A3411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</w:rPr>
        <w:t>-</w:t>
      </w:r>
      <w:r w:rsidRPr="000A3411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</w:rPr>
        <w:t>goyim</w:t>
      </w:r>
    </w:p>
    <w:p w14:paraId="4AA8353F" w14:textId="3F20E666" w:rsidR="00942A85" w:rsidRDefault="00942A85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07424547" w14:textId="07F7C35A" w:rsidR="009809A3" w:rsidRDefault="00BF4AF1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  <w:rtl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The strong opposition to the Reform </w:t>
      </w:r>
      <w:r w:rsidR="00331539">
        <w:rPr>
          <w:rFonts w:asciiTheme="minorBidi" w:hAnsiTheme="minorBidi"/>
          <w:sz w:val="24"/>
          <w:szCs w:val="24"/>
          <w:shd w:val="clear" w:color="auto" w:fill="FFFFFF"/>
        </w:rPr>
        <w:t>M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ovement’s decision to move the </w:t>
      </w:r>
      <w:r w:rsidR="007F2CC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was also based on the understanding that it was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 xml:space="preserve"> an idea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taken from the Church.</w:t>
      </w:r>
    </w:p>
    <w:p w14:paraId="2400971B" w14:textId="77777777" w:rsidR="009809A3" w:rsidRDefault="009809A3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45B1B8A1" w14:textId="2DF78E71" w:rsidR="009809A3" w:rsidRPr="009809A3" w:rsidRDefault="009809A3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9809A3">
        <w:rPr>
          <w:rFonts w:asciiTheme="minorBidi" w:hAnsiTheme="minorBidi"/>
          <w:sz w:val="24"/>
          <w:szCs w:val="24"/>
          <w:shd w:val="clear" w:color="auto" w:fill="FFFFFF"/>
        </w:rPr>
        <w:t xml:space="preserve">Rav Yisrael Meir Kagan (the </w:t>
      </w:r>
      <w:r w:rsidRPr="000E7674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Ch</w:t>
      </w:r>
      <w:r w:rsidR="00457258" w:rsidRPr="000E7674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a</w:t>
      </w:r>
      <w:r w:rsidRPr="000E7674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fetz Chaim</w:t>
      </w:r>
      <w:r w:rsidRPr="009809A3">
        <w:rPr>
          <w:rFonts w:asciiTheme="minorBidi" w:hAnsiTheme="minorBidi"/>
          <w:sz w:val="24"/>
          <w:szCs w:val="24"/>
          <w:shd w:val="clear" w:color="auto" w:fill="FFFFFF"/>
        </w:rPr>
        <w:t>) comments on the Rema</w:t>
      </w:r>
      <w:r w:rsidR="00B0073E">
        <w:rPr>
          <w:rFonts w:asciiTheme="minorBidi" w:hAnsiTheme="minorBidi"/>
          <w:sz w:val="24"/>
          <w:szCs w:val="24"/>
          <w:shd w:val="clear" w:color="auto" w:fill="FFFFFF"/>
        </w:rPr>
        <w:t xml:space="preserve"> and says</w:t>
      </w:r>
      <w:r w:rsidRPr="009809A3">
        <w:rPr>
          <w:rFonts w:asciiTheme="minorBidi" w:hAnsiTheme="minorBidi"/>
          <w:sz w:val="24"/>
          <w:szCs w:val="24"/>
          <w:shd w:val="clear" w:color="auto" w:fill="FFFFFF"/>
        </w:rPr>
        <w:t xml:space="preserve"> the </w:t>
      </w:r>
      <w:r w:rsidR="00B0073E">
        <w:rPr>
          <w:rFonts w:asciiTheme="minorBidi" w:hAnsiTheme="minorBidi"/>
          <w:sz w:val="24"/>
          <w:szCs w:val="24"/>
          <w:shd w:val="clear" w:color="auto" w:fill="FFFFFF"/>
        </w:rPr>
        <w:t>r</w:t>
      </w:r>
      <w:r w:rsidR="00B0073E" w:rsidRPr="009809A3">
        <w:rPr>
          <w:rFonts w:asciiTheme="minorBidi" w:hAnsiTheme="minorBidi"/>
          <w:sz w:val="24"/>
          <w:szCs w:val="24"/>
          <w:shd w:val="clear" w:color="auto" w:fill="FFFFFF"/>
        </w:rPr>
        <w:t xml:space="preserve">abbis </w:t>
      </w:r>
      <w:r w:rsidRPr="009809A3">
        <w:rPr>
          <w:rFonts w:asciiTheme="minorBidi" w:hAnsiTheme="minorBidi"/>
          <w:sz w:val="24"/>
          <w:szCs w:val="24"/>
          <w:shd w:val="clear" w:color="auto" w:fill="FFFFFF"/>
        </w:rPr>
        <w:t xml:space="preserve">condemned those who </w:t>
      </w:r>
      <w:r w:rsidR="009B1BE2">
        <w:rPr>
          <w:rFonts w:asciiTheme="minorBidi" w:hAnsiTheme="minorBidi"/>
          <w:sz w:val="24"/>
          <w:szCs w:val="24"/>
          <w:shd w:val="clear" w:color="auto" w:fill="FFFFFF"/>
        </w:rPr>
        <w:t>imitated</w:t>
      </w:r>
      <w:r w:rsidRPr="009809A3">
        <w:rPr>
          <w:rFonts w:asciiTheme="minorBidi" w:hAnsiTheme="minorBidi"/>
          <w:sz w:val="24"/>
          <w:szCs w:val="24"/>
          <w:shd w:val="clear" w:color="auto" w:fill="FFFFFF"/>
        </w:rPr>
        <w:t xml:space="preserve"> the ways of the idol worshipers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B0073E">
        <w:rPr>
          <w:rFonts w:asciiTheme="minorBidi" w:hAnsiTheme="minorBidi"/>
          <w:sz w:val="24"/>
          <w:szCs w:val="24"/>
          <w:shd w:val="clear" w:color="auto" w:fill="FFFFFF"/>
        </w:rPr>
        <w:t>by moving</w:t>
      </w:r>
      <w:r w:rsidRPr="009809A3">
        <w:rPr>
          <w:rFonts w:asciiTheme="minorBidi" w:hAnsiTheme="minorBidi"/>
          <w:sz w:val="24"/>
          <w:szCs w:val="24"/>
          <w:shd w:val="clear" w:color="auto" w:fill="FFFFFF"/>
        </w:rPr>
        <w:t xml:space="preserve"> the </w:t>
      </w:r>
      <w:r w:rsidR="007F2CC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Pr="009809A3">
        <w:rPr>
          <w:rFonts w:asciiTheme="minorBidi" w:hAnsiTheme="minorBidi"/>
          <w:sz w:val="24"/>
          <w:szCs w:val="24"/>
          <w:shd w:val="clear" w:color="auto" w:fill="FFFFFF"/>
        </w:rPr>
        <w:t>.</w:t>
      </w:r>
      <w:r w:rsidRPr="009809A3">
        <w:rPr>
          <w:rFonts w:asciiTheme="minorBidi" w:hAnsiTheme="minorBidi"/>
          <w:sz w:val="24"/>
          <w:szCs w:val="24"/>
          <w:shd w:val="clear" w:color="auto" w:fill="FFFFFF"/>
          <w:vertAlign w:val="superscript"/>
        </w:rPr>
        <w:footnoteReference w:id="8"/>
      </w:r>
    </w:p>
    <w:p w14:paraId="1DAB75D5" w14:textId="77777777" w:rsidR="00BF4AF1" w:rsidRDefault="00BF4AF1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6518C7DD" w14:textId="2D279C06" w:rsidR="00942A85" w:rsidRDefault="00942A85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Rabbi Soloveitchik 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 xml:space="preserve">argued </w:t>
      </w:r>
      <w:r w:rsidR="008E70BD">
        <w:rPr>
          <w:rFonts w:asciiTheme="minorBidi" w:hAnsiTheme="minorBidi"/>
          <w:sz w:val="24"/>
          <w:szCs w:val="24"/>
          <w:shd w:val="clear" w:color="auto" w:fill="FFFFFF"/>
        </w:rPr>
        <w:t xml:space="preserve">that there is a specific prohibition in the Torah </w:t>
      </w:r>
      <w:r w:rsidR="00B0073E">
        <w:rPr>
          <w:rFonts w:asciiTheme="minorBidi" w:hAnsiTheme="minorBidi"/>
          <w:sz w:val="24"/>
          <w:szCs w:val="24"/>
          <w:shd w:val="clear" w:color="auto" w:fill="FFFFFF"/>
        </w:rPr>
        <w:t xml:space="preserve">against </w:t>
      </w:r>
      <w:r w:rsidR="008E70BD">
        <w:rPr>
          <w:rFonts w:asciiTheme="minorBidi" w:hAnsiTheme="minorBidi"/>
          <w:sz w:val="24"/>
          <w:szCs w:val="24"/>
          <w:shd w:val="clear" w:color="auto" w:fill="FFFFFF"/>
        </w:rPr>
        <w:t>introduc</w:t>
      </w:r>
      <w:r w:rsidR="00B0073E">
        <w:rPr>
          <w:rFonts w:asciiTheme="minorBidi" w:hAnsiTheme="minorBidi"/>
          <w:sz w:val="24"/>
          <w:szCs w:val="24"/>
          <w:shd w:val="clear" w:color="auto" w:fill="FFFFFF"/>
        </w:rPr>
        <w:t>ing</w:t>
      </w:r>
      <w:r w:rsidR="008E70BD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customs </w:t>
      </w:r>
      <w:r w:rsidR="008E70BD">
        <w:rPr>
          <w:rFonts w:asciiTheme="minorBidi" w:hAnsiTheme="minorBidi"/>
          <w:sz w:val="24"/>
          <w:szCs w:val="24"/>
          <w:shd w:val="clear" w:color="auto" w:fill="FFFFFF"/>
        </w:rPr>
        <w:t xml:space="preserve">from other religions </w:t>
      </w:r>
      <w:r>
        <w:rPr>
          <w:rFonts w:asciiTheme="minorBidi" w:hAnsiTheme="minorBidi"/>
          <w:sz w:val="24"/>
          <w:szCs w:val="24"/>
          <w:shd w:val="clear" w:color="auto" w:fill="FFFFFF"/>
        </w:rPr>
        <w:t>into the worship of God. In fact</w:t>
      </w:r>
      <w:r w:rsidR="003C386F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he believed that this was the true meaning of the Torah’s prohibition </w:t>
      </w:r>
      <w:r w:rsidR="00B0073E">
        <w:rPr>
          <w:rFonts w:asciiTheme="minorBidi" w:hAnsiTheme="minorBidi"/>
          <w:sz w:val="24"/>
          <w:szCs w:val="24"/>
          <w:shd w:val="clear" w:color="auto" w:fill="FFFFFF"/>
        </w:rPr>
        <w:t xml:space="preserve">of </w:t>
      </w:r>
      <w:r>
        <w:rPr>
          <w:rFonts w:asciiTheme="minorBidi" w:hAnsiTheme="minorBidi"/>
          <w:sz w:val="24"/>
          <w:szCs w:val="24"/>
          <w:shd w:val="clear" w:color="auto" w:fill="FFFFFF"/>
        </w:rPr>
        <w:t>adopt</w:t>
      </w:r>
      <w:r w:rsidR="00B0073E">
        <w:rPr>
          <w:rFonts w:asciiTheme="minorBidi" w:hAnsiTheme="minorBidi"/>
          <w:sz w:val="24"/>
          <w:szCs w:val="24"/>
          <w:shd w:val="clear" w:color="auto" w:fill="FFFFFF"/>
        </w:rPr>
        <w:t>ing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B0073E">
        <w:rPr>
          <w:rFonts w:asciiTheme="minorBidi" w:hAnsiTheme="minorBidi"/>
          <w:sz w:val="24"/>
          <w:szCs w:val="24"/>
          <w:shd w:val="clear" w:color="auto" w:fill="FFFFFF"/>
        </w:rPr>
        <w:t>practices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of </w:t>
      </w:r>
      <w:r w:rsidR="00B0073E">
        <w:rPr>
          <w:rFonts w:asciiTheme="minorBidi" w:hAnsiTheme="minorBidi"/>
          <w:sz w:val="24"/>
          <w:szCs w:val="24"/>
          <w:shd w:val="clear" w:color="auto" w:fill="FFFFFF"/>
        </w:rPr>
        <w:t>other nations</w:t>
      </w:r>
      <w:r w:rsidR="008E70BD">
        <w:rPr>
          <w:rFonts w:asciiTheme="minorBidi" w:hAnsiTheme="minorBidi"/>
          <w:sz w:val="24"/>
          <w:szCs w:val="24"/>
          <w:shd w:val="clear" w:color="auto" w:fill="FFFFFF"/>
        </w:rPr>
        <w:t xml:space="preserve"> (</w:t>
      </w:r>
      <w:r w:rsidR="008E70BD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Vayikra</w:t>
      </w:r>
      <w:r w:rsidR="008E70BD" w:rsidRPr="008E70BD">
        <w:rPr>
          <w:rFonts w:asciiTheme="minorBidi" w:hAnsiTheme="minorBidi"/>
          <w:sz w:val="24"/>
          <w:szCs w:val="24"/>
          <w:shd w:val="clear" w:color="auto" w:fill="FFFFFF"/>
        </w:rPr>
        <w:t xml:space="preserve"> 18:</w:t>
      </w:r>
      <w:r w:rsidR="009809A3">
        <w:rPr>
          <w:rFonts w:asciiTheme="minorBidi" w:hAnsiTheme="minorBidi"/>
          <w:sz w:val="24"/>
          <w:szCs w:val="24"/>
          <w:shd w:val="clear" w:color="auto" w:fill="FFFFFF"/>
        </w:rPr>
        <w:t>3</w:t>
      </w:r>
      <w:r w:rsidR="008E70BD">
        <w:rPr>
          <w:rFonts w:asciiTheme="minorBidi" w:hAnsiTheme="minorBidi"/>
          <w:sz w:val="24"/>
          <w:szCs w:val="24"/>
          <w:shd w:val="clear" w:color="auto" w:fill="FFFFFF"/>
        </w:rPr>
        <w:t>)</w:t>
      </w:r>
      <w:r w:rsidR="003C386F">
        <w:rPr>
          <w:rFonts w:asciiTheme="minorBidi" w:hAnsiTheme="minorBidi"/>
          <w:sz w:val="24"/>
          <w:szCs w:val="24"/>
          <w:shd w:val="clear" w:color="auto" w:fill="FFFFFF"/>
        </w:rPr>
        <w:t>.</w:t>
      </w:r>
      <w:r w:rsidR="003C386F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9"/>
      </w:r>
    </w:p>
    <w:p w14:paraId="1CBD4A39" w14:textId="24AB84AD" w:rsidR="00942A85" w:rsidRDefault="00942A85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405A4A2A" w14:textId="63995B15" w:rsidR="003C386F" w:rsidRDefault="003C386F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Rav </w:t>
      </w:r>
      <w:r w:rsidR="00E24BA0">
        <w:rPr>
          <w:rFonts w:asciiTheme="minorBidi" w:hAnsiTheme="minorBidi"/>
          <w:sz w:val="24"/>
          <w:szCs w:val="24"/>
          <w:shd w:val="clear" w:color="auto" w:fill="FFFFFF"/>
        </w:rPr>
        <w:t>Soloveitchik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therefore opposed reciting the poe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>m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Yigdal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during prayer services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as he understood that the idea of reciting one’s doctrine of faith is taken from the church.</w:t>
      </w:r>
    </w:p>
    <w:p w14:paraId="630D9BE4" w14:textId="249B9283" w:rsidR="003C386F" w:rsidRDefault="003C386F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He was also against getting married in a </w:t>
      </w:r>
      <w:r w:rsidR="00E24BA0">
        <w:rPr>
          <w:rFonts w:asciiTheme="minorBidi" w:hAnsiTheme="minorBidi"/>
          <w:sz w:val="24"/>
          <w:szCs w:val="24"/>
          <w:shd w:val="clear" w:color="auto" w:fill="FFFFFF"/>
        </w:rPr>
        <w:t>synagogue</w:t>
      </w:r>
      <w:r w:rsidR="005E4CA8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E24BA0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5E4CA8">
        <w:rPr>
          <w:rFonts w:asciiTheme="minorBidi" w:hAnsiTheme="minorBidi"/>
          <w:sz w:val="24"/>
          <w:szCs w:val="24"/>
          <w:shd w:val="clear" w:color="auto" w:fill="FFFFFF"/>
        </w:rPr>
        <w:t xml:space="preserve">or </w:t>
      </w:r>
      <w:r w:rsidR="00E24BA0">
        <w:rPr>
          <w:rFonts w:asciiTheme="minorBidi" w:hAnsiTheme="minorBidi"/>
          <w:sz w:val="24"/>
          <w:szCs w:val="24"/>
          <w:shd w:val="clear" w:color="auto" w:fill="FFFFFF"/>
        </w:rPr>
        <w:t>praying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in a </w:t>
      </w:r>
      <w:r w:rsidR="00E24BA0">
        <w:rPr>
          <w:rFonts w:asciiTheme="minorBidi" w:hAnsiTheme="minorBidi"/>
          <w:sz w:val="24"/>
          <w:szCs w:val="24"/>
          <w:shd w:val="clear" w:color="auto" w:fill="FFFFFF"/>
        </w:rPr>
        <w:t>synagogue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without </w:t>
      </w:r>
      <w:r w:rsidR="00E24BA0">
        <w:rPr>
          <w:rFonts w:asciiTheme="minorBidi" w:hAnsiTheme="minorBidi"/>
          <w:sz w:val="24"/>
          <w:szCs w:val="24"/>
          <w:shd w:val="clear" w:color="auto" w:fill="FFFFFF"/>
        </w:rPr>
        <w:t xml:space="preserve">a </w:t>
      </w:r>
      <w:r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mechitza</w:t>
      </w:r>
      <w:r w:rsidR="005E4CA8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E24BA0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>because</w:t>
      </w:r>
      <w:r w:rsidR="00E24BA0">
        <w:rPr>
          <w:rFonts w:asciiTheme="minorBidi" w:hAnsiTheme="minorBidi"/>
          <w:sz w:val="24"/>
          <w:szCs w:val="24"/>
          <w:shd w:val="clear" w:color="auto" w:fill="FFFFFF"/>
        </w:rPr>
        <w:t xml:space="preserve"> he felt that these were customs taken from other religions.</w:t>
      </w:r>
      <w:r w:rsidR="00E24BA0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0"/>
      </w:r>
    </w:p>
    <w:p w14:paraId="3778FA8B" w14:textId="37307625" w:rsidR="007A70FC" w:rsidRPr="007A70FC" w:rsidRDefault="007A70FC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60B0985F" w14:textId="15A94D55" w:rsidR="003C386F" w:rsidRPr="003C386F" w:rsidRDefault="003C386F" w:rsidP="0099723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shd w:val="clear" w:color="auto" w:fill="FFFFFF"/>
        </w:rPr>
      </w:pPr>
      <w:r w:rsidRPr="003C386F">
        <w:rPr>
          <w:rFonts w:asciiTheme="minorBidi" w:hAnsiTheme="minorBidi"/>
          <w:b/>
          <w:bCs/>
          <w:sz w:val="24"/>
          <w:szCs w:val="24"/>
          <w:shd w:val="clear" w:color="auto" w:fill="FFFFFF"/>
        </w:rPr>
        <w:t>Can one pray in such a synagogue?</w:t>
      </w:r>
    </w:p>
    <w:p w14:paraId="0164343E" w14:textId="77777777" w:rsidR="003C386F" w:rsidRDefault="003C386F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7FD6F371" w14:textId="7A0CA4E0" w:rsidR="00E9420D" w:rsidRDefault="007A70FC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 w:rsidRPr="007A70FC">
        <w:rPr>
          <w:rFonts w:asciiTheme="minorBidi" w:hAnsiTheme="minorBidi"/>
          <w:sz w:val="24"/>
          <w:szCs w:val="24"/>
          <w:shd w:val="clear" w:color="auto" w:fill="FFFFFF"/>
        </w:rPr>
        <w:t>Rabbi Yechiel Yaakov Weinberg (1884–1966</w:t>
      </w:r>
      <w:r>
        <w:rPr>
          <w:rFonts w:asciiTheme="minorBidi" w:hAnsiTheme="minorBidi"/>
          <w:sz w:val="24"/>
          <w:szCs w:val="24"/>
          <w:shd w:val="clear" w:color="auto" w:fill="FFFFFF"/>
        </w:rPr>
        <w:t>)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 xml:space="preserve">who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settled in Switzerland post World 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>W</w:t>
      </w:r>
      <w:r>
        <w:rPr>
          <w:rFonts w:asciiTheme="minorBidi" w:hAnsiTheme="minorBidi"/>
          <w:sz w:val="24"/>
          <w:szCs w:val="24"/>
          <w:shd w:val="clear" w:color="auto" w:fill="FFFFFF"/>
        </w:rPr>
        <w:t>ar ll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 xml:space="preserve">, responded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to a question 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 xml:space="preserve">regarding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whether it is permitted to pray in a synagogue 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 xml:space="preserve">whose </w:t>
      </w:r>
      <w:r w:rsidR="009A16A7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bima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 xml:space="preserve"> is not in the center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>.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>H</w:t>
      </w:r>
      <w:r>
        <w:rPr>
          <w:rFonts w:asciiTheme="minorBidi" w:hAnsiTheme="minorBidi"/>
          <w:sz w:val="24"/>
          <w:szCs w:val="24"/>
          <w:shd w:val="clear" w:color="auto" w:fill="FFFFFF"/>
        </w:rPr>
        <w:t>e distinguishe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>s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between mov</w:t>
      </w:r>
      <w:r w:rsidR="00E9420D">
        <w:rPr>
          <w:rFonts w:asciiTheme="minorBidi" w:hAnsiTheme="minorBidi"/>
          <w:sz w:val="24"/>
          <w:szCs w:val="24"/>
          <w:shd w:val="clear" w:color="auto" w:fill="FFFFFF"/>
        </w:rPr>
        <w:t>ing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the </w:t>
      </w:r>
      <w:r w:rsidR="009A16A7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>and praying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in </w:t>
      </w:r>
      <w:r w:rsidR="00E9420D">
        <w:rPr>
          <w:rFonts w:asciiTheme="minorBidi" w:hAnsiTheme="minorBidi"/>
          <w:sz w:val="24"/>
          <w:szCs w:val="24"/>
          <w:shd w:val="clear" w:color="auto" w:fill="FFFFFF"/>
        </w:rPr>
        <w:t xml:space="preserve">a 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>synagogue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 xml:space="preserve"> where it has been moved, claiming</w:t>
      </w:r>
      <w:r w:rsidR="00E9420D">
        <w:rPr>
          <w:rFonts w:asciiTheme="minorBidi" w:hAnsiTheme="minorBidi"/>
          <w:sz w:val="24"/>
          <w:szCs w:val="24"/>
          <w:shd w:val="clear" w:color="auto" w:fill="FFFFFF"/>
        </w:rPr>
        <w:t xml:space="preserve"> that he never heard that de facto one cannot pray in such a place. However, in a note on his </w:t>
      </w:r>
      <w:r w:rsidR="00E9420D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teshuva</w:t>
      </w:r>
      <w:r w:rsidR="00E9420D">
        <w:rPr>
          <w:rFonts w:asciiTheme="minorBidi" w:hAnsiTheme="minorBidi"/>
          <w:sz w:val="24"/>
          <w:szCs w:val="24"/>
          <w:shd w:val="clear" w:color="auto" w:fill="FFFFFF"/>
        </w:rPr>
        <w:t>, which was probably added later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E9420D">
        <w:rPr>
          <w:rFonts w:asciiTheme="minorBidi" w:hAnsiTheme="minorBidi"/>
          <w:sz w:val="24"/>
          <w:szCs w:val="24"/>
          <w:shd w:val="clear" w:color="auto" w:fill="FFFFFF"/>
        </w:rPr>
        <w:t xml:space="preserve"> he 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>mentions</w:t>
      </w:r>
      <w:r w:rsidR="00E9420D">
        <w:rPr>
          <w:rFonts w:asciiTheme="minorBidi" w:hAnsiTheme="minorBidi"/>
          <w:sz w:val="24"/>
          <w:szCs w:val="24"/>
          <w:shd w:val="clear" w:color="auto" w:fill="FFFFFF"/>
        </w:rPr>
        <w:t xml:space="preserve"> that there were Rabbis </w:t>
      </w:r>
      <w:r w:rsidR="009A16A7">
        <w:rPr>
          <w:rFonts w:asciiTheme="minorBidi" w:hAnsiTheme="minorBidi"/>
          <w:sz w:val="24"/>
          <w:szCs w:val="24"/>
          <w:shd w:val="clear" w:color="auto" w:fill="FFFFFF"/>
        </w:rPr>
        <w:t xml:space="preserve">in Hungary </w:t>
      </w:r>
      <w:r w:rsidR="00E9420D">
        <w:rPr>
          <w:rFonts w:asciiTheme="minorBidi" w:hAnsiTheme="minorBidi"/>
          <w:sz w:val="24"/>
          <w:szCs w:val="24"/>
          <w:shd w:val="clear" w:color="auto" w:fill="FFFFFF"/>
        </w:rPr>
        <w:t>wh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>o</w:t>
      </w:r>
      <w:r w:rsidR="00E9420D">
        <w:rPr>
          <w:rFonts w:asciiTheme="minorBidi" w:hAnsiTheme="minorBidi"/>
          <w:sz w:val="24"/>
          <w:szCs w:val="24"/>
          <w:shd w:val="clear" w:color="auto" w:fill="FFFFFF"/>
        </w:rPr>
        <w:t xml:space="preserve"> prohibited it.</w:t>
      </w:r>
      <w:r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1"/>
      </w:r>
    </w:p>
    <w:p w14:paraId="21A1B856" w14:textId="54298917" w:rsidR="008F2214" w:rsidRDefault="008F2214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587D2CFE" w14:textId="2D4BB941" w:rsidR="008F2214" w:rsidRDefault="008F2214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Rav Moshe Feinstein </w:t>
      </w:r>
      <w:r w:rsidR="00073130">
        <w:rPr>
          <w:rFonts w:asciiTheme="minorBidi" w:hAnsiTheme="minorBidi"/>
          <w:sz w:val="24"/>
          <w:szCs w:val="24"/>
          <w:shd w:val="clear" w:color="auto" w:fill="FFFFFF"/>
        </w:rPr>
        <w:t xml:space="preserve">agrees with Rabbi Weinberg that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it is permitted to pray in a synagogue in which the </w:t>
      </w:r>
      <w:r w:rsidR="00695C9C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was placed in the front.</w:t>
      </w:r>
      <w:r w:rsidR="00073130">
        <w:rPr>
          <w:rFonts w:asciiTheme="minorBidi" w:hAnsiTheme="minorBidi"/>
          <w:sz w:val="24"/>
          <w:szCs w:val="24"/>
          <w:shd w:val="clear" w:color="auto" w:fill="FFFFFF"/>
        </w:rPr>
        <w:t xml:space="preserve"> However, he also raises a new </w:t>
      </w:r>
      <w:r w:rsidR="00073130">
        <w:rPr>
          <w:rFonts w:asciiTheme="minorBidi" w:hAnsiTheme="minorBidi"/>
          <w:sz w:val="24"/>
          <w:szCs w:val="24"/>
          <w:shd w:val="clear" w:color="auto" w:fill="FFFFFF"/>
        </w:rPr>
        <w:lastRenderedPageBreak/>
        <w:t xml:space="preserve">concern: if the </w:t>
      </w:r>
      <w:r w:rsidR="00073130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073130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073130">
        <w:rPr>
          <w:rFonts w:asciiTheme="minorBidi" w:hAnsiTheme="minorBidi"/>
          <w:sz w:val="24"/>
          <w:szCs w:val="24"/>
          <w:shd w:val="clear" w:color="auto" w:fill="FFFFFF"/>
        </w:rPr>
        <w:t xml:space="preserve"> in a large synagogue is not placed in the middle, people at the far end will require a microphone on Shabbat to hear the prayers.</w:t>
      </w:r>
      <w:r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2"/>
      </w:r>
    </w:p>
    <w:p w14:paraId="64B6FC4F" w14:textId="5AFA605A" w:rsidR="00E9420D" w:rsidRDefault="00E9420D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524F4DFC" w14:textId="31503D63" w:rsidR="00E9420D" w:rsidRDefault="00E9420D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Recently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I visited the Jewish community of Basel, Switzerland. The main synagogue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wh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>ere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Herzl received his famous </w:t>
      </w:r>
      <w:r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aliya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to the Torah, has two </w:t>
      </w:r>
      <w:r w:rsidR="00695C9C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imas</w:t>
      </w:r>
      <w:r>
        <w:rPr>
          <w:rFonts w:asciiTheme="minorBidi" w:hAnsiTheme="minorBidi"/>
          <w:sz w:val="24"/>
          <w:szCs w:val="24"/>
          <w:shd w:val="clear" w:color="auto" w:fill="FFFFFF"/>
        </w:rPr>
        <w:t>. The original one is on a stage i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 xml:space="preserve">n </w:t>
      </w:r>
      <w:r>
        <w:rPr>
          <w:rFonts w:asciiTheme="minorBidi" w:hAnsiTheme="minorBidi"/>
          <w:sz w:val="24"/>
          <w:szCs w:val="24"/>
          <w:shd w:val="clear" w:color="auto" w:fill="FFFFFF"/>
        </w:rPr>
        <w:t>front</w:t>
      </w:r>
      <w:r w:rsidR="00E47A09">
        <w:rPr>
          <w:rFonts w:asciiTheme="minorBidi" w:hAnsiTheme="minorBidi"/>
          <w:sz w:val="24"/>
          <w:szCs w:val="24"/>
          <w:shd w:val="clear" w:color="auto" w:fill="FFFFFF"/>
        </w:rPr>
        <w:t xml:space="preserve"> of the </w:t>
      </w:r>
      <w:r w:rsidR="00F91ADD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 xml:space="preserve">aron </w:t>
      </w:r>
      <w:r w:rsidR="00F91ADD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ha-</w:t>
      </w:r>
      <w:r w:rsidR="00F91ADD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kodesh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, and another one was placed in the middle of the 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>shul some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30 years ago. I was told that a certain 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r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abbi from Basel still refuses to enter this 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>shul,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following the Hungarian decree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0A3411">
        <w:rPr>
          <w:rFonts w:asciiTheme="minorBidi" w:hAnsiTheme="minorBidi"/>
          <w:sz w:val="24"/>
          <w:szCs w:val="24"/>
          <w:shd w:val="clear" w:color="auto" w:fill="FFFFFF"/>
        </w:rPr>
        <w:t>even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after the new </w:t>
      </w:r>
      <w:r w:rsidR="00695C9C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was placed in the middle!</w:t>
      </w:r>
    </w:p>
    <w:p w14:paraId="69BAD791" w14:textId="6F082390" w:rsidR="00E9420D" w:rsidRDefault="00E9420D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703FB384" w14:textId="4D0EC64F" w:rsidR="00ED6CBC" w:rsidRDefault="007C59AE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During the years 1913, 1923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and 1927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Chief Rabbi Avraham Yitzchak Kook </w:t>
      </w:r>
      <w:r w:rsidR="006D3561">
        <w:rPr>
          <w:rFonts w:asciiTheme="minorBidi" w:hAnsiTheme="minorBidi"/>
          <w:sz w:val="24"/>
          <w:szCs w:val="24"/>
          <w:shd w:val="clear" w:color="auto" w:fill="FFFFFF"/>
        </w:rPr>
        <w:t>travelled around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the Land of Israel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, together with other leading rabbis, to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visit the new towns built by 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new </w:t>
      </w:r>
      <w:r w:rsidR="00ED6CBC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olim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>. These organized trips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 named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>“</w:t>
      </w:r>
      <w:r w:rsidR="00ED6CBC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masa ha-moshavot</w:t>
      </w:r>
      <w:r w:rsid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,</w:t>
      </w:r>
      <w:r w:rsidR="00695C9C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”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 were part of Rav Kook’s attempt to connect the 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r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 xml:space="preserve">abbis 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with the pioneers who were mostly 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 xml:space="preserve">not 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religious.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>O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>n one of these trips, while visiting the town of Zichron Yaakov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 the </w:t>
      </w:r>
      <w:r w:rsidR="00695C9C">
        <w:rPr>
          <w:rFonts w:asciiTheme="minorBidi" w:hAnsiTheme="minorBidi"/>
          <w:sz w:val="24"/>
          <w:szCs w:val="24"/>
          <w:shd w:val="clear" w:color="auto" w:fill="FFFFFF"/>
        </w:rPr>
        <w:t>r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abbis noticed that the </w:t>
      </w:r>
      <w:r w:rsidR="00695C9C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ED6CBC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 was 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>positioned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 in the back of the 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s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hul and refused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 xml:space="preserve">to 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enter it. As this </w:t>
      </w:r>
      <w:r w:rsidR="006D3561">
        <w:rPr>
          <w:rFonts w:asciiTheme="minorBidi" w:hAnsiTheme="minorBidi"/>
          <w:sz w:val="24"/>
          <w:szCs w:val="24"/>
          <w:shd w:val="clear" w:color="auto" w:fill="FFFFFF"/>
        </w:rPr>
        <w:t>occurred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 xml:space="preserve">on a 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>Friday afternoon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 the 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r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abbis prayed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 xml:space="preserve">that 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Friday night in their hostel. </w:t>
      </w:r>
      <w:r w:rsidR="005C7CAF">
        <w:rPr>
          <w:rFonts w:asciiTheme="minorBidi" w:hAnsiTheme="minorBidi"/>
          <w:sz w:val="24"/>
          <w:szCs w:val="24"/>
          <w:shd w:val="clear" w:color="auto" w:fill="FFFFFF"/>
        </w:rPr>
        <w:t xml:space="preserve">On Shabbat </w:t>
      </w:r>
      <w:r w:rsidR="006D3561">
        <w:rPr>
          <w:rFonts w:asciiTheme="minorBidi" w:hAnsiTheme="minorBidi"/>
          <w:sz w:val="24"/>
          <w:szCs w:val="24"/>
          <w:shd w:val="clear" w:color="auto" w:fill="FFFFFF"/>
        </w:rPr>
        <w:t>morning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5C7CAF">
        <w:rPr>
          <w:rFonts w:asciiTheme="minorBidi" w:hAnsiTheme="minorBidi"/>
          <w:sz w:val="24"/>
          <w:szCs w:val="24"/>
          <w:shd w:val="clear" w:color="auto" w:fill="FFFFFF"/>
        </w:rPr>
        <w:t xml:space="preserve"> a delegation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 xml:space="preserve"> from the shul negotiated with the rabbis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proofErr w:type="gramStart"/>
      <w:r w:rsidR="003B1291">
        <w:rPr>
          <w:rFonts w:asciiTheme="minorBidi" w:hAnsiTheme="minorBidi"/>
          <w:sz w:val="24"/>
          <w:szCs w:val="24"/>
          <w:shd w:val="clear" w:color="auto" w:fill="FFFFFF"/>
        </w:rPr>
        <w:t xml:space="preserve">and </w:t>
      </w:r>
      <w:r w:rsidR="00073130" w:rsidRPr="00073130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073130">
        <w:rPr>
          <w:rFonts w:asciiTheme="minorBidi" w:hAnsiTheme="minorBidi"/>
          <w:sz w:val="24"/>
          <w:szCs w:val="24"/>
          <w:shd w:val="clear" w:color="auto" w:fill="FFFFFF"/>
        </w:rPr>
        <w:t>assured</w:t>
      </w:r>
      <w:proofErr w:type="gramEnd"/>
      <w:r w:rsidR="00073130">
        <w:rPr>
          <w:rFonts w:asciiTheme="minorBidi" w:hAnsiTheme="minorBidi"/>
          <w:sz w:val="24"/>
          <w:szCs w:val="24"/>
          <w:shd w:val="clear" w:color="auto" w:fill="FFFFFF"/>
        </w:rPr>
        <w:t xml:space="preserve"> them they would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 xml:space="preserve"> move the </w:t>
      </w:r>
      <w:r w:rsidR="00F17583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ED6CBC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 xml:space="preserve">to the middle 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 xml:space="preserve">immediately after Shabbat. Only then did the 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r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 xml:space="preserve">abbis 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 xml:space="preserve">agree </w:t>
      </w:r>
      <w:r w:rsidR="003B1291">
        <w:rPr>
          <w:rFonts w:asciiTheme="minorBidi" w:hAnsiTheme="minorBidi"/>
          <w:sz w:val="24"/>
          <w:szCs w:val="24"/>
          <w:shd w:val="clear" w:color="auto" w:fill="FFFFFF"/>
        </w:rPr>
        <w:t>to daven there</w:t>
      </w:r>
      <w:r w:rsidR="00ED6CBC">
        <w:rPr>
          <w:rFonts w:asciiTheme="minorBidi" w:hAnsiTheme="minorBidi"/>
          <w:sz w:val="24"/>
          <w:szCs w:val="24"/>
          <w:shd w:val="clear" w:color="auto" w:fill="FFFFFF"/>
        </w:rPr>
        <w:t>.</w:t>
      </w:r>
      <w:r w:rsidR="00ED6CBC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3"/>
      </w:r>
    </w:p>
    <w:p w14:paraId="789FCF65" w14:textId="77777777" w:rsidR="00E9420D" w:rsidRDefault="00E9420D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3240AC4F" w14:textId="6B78DBBC" w:rsidR="007E2B5C" w:rsidRDefault="00B6567C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Rav Ovadya Yosef also deals with our question.</w:t>
      </w:r>
      <w:r w:rsidR="003B1291">
        <w:rPr>
          <w:rStyle w:val="FootnoteReference"/>
          <w:rFonts w:asciiTheme="minorBidi" w:hAnsiTheme="minorBidi"/>
          <w:sz w:val="24"/>
          <w:szCs w:val="24"/>
          <w:shd w:val="clear" w:color="auto" w:fill="FFFFFF"/>
        </w:rPr>
        <w:footnoteReference w:id="14"/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7E2B5C">
        <w:rPr>
          <w:rFonts w:asciiTheme="minorBidi" w:hAnsiTheme="minorBidi"/>
          <w:sz w:val="24"/>
          <w:szCs w:val="24"/>
          <w:shd w:val="clear" w:color="auto" w:fill="FFFFFF"/>
        </w:rPr>
        <w:t xml:space="preserve">In his </w:t>
      </w:r>
      <w:r w:rsidR="00F17583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t</w:t>
      </w:r>
      <w:r w:rsidR="007E2B5C"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eshuva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7E2B5C">
        <w:rPr>
          <w:rFonts w:asciiTheme="minorBidi" w:hAnsiTheme="minorBidi"/>
          <w:sz w:val="24"/>
          <w:szCs w:val="24"/>
          <w:shd w:val="clear" w:color="auto" w:fill="FFFFFF"/>
        </w:rPr>
        <w:t xml:space="preserve"> he permits moving the </w:t>
      </w:r>
      <w:r w:rsidR="00F17583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="007E2B5C"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 w:rsidR="007E2B5C">
        <w:rPr>
          <w:rFonts w:asciiTheme="minorBidi" w:hAnsiTheme="minorBidi"/>
          <w:sz w:val="24"/>
          <w:szCs w:val="24"/>
          <w:shd w:val="clear" w:color="auto" w:fill="FFFFFF"/>
        </w:rPr>
        <w:t xml:space="preserve"> in a synagogue in </w:t>
      </w:r>
      <w:r w:rsidR="000A3411">
        <w:rPr>
          <w:rFonts w:asciiTheme="minorBidi" w:hAnsiTheme="minorBidi"/>
          <w:sz w:val="24"/>
          <w:szCs w:val="24"/>
          <w:shd w:val="clear" w:color="auto" w:fill="FFFFFF"/>
        </w:rPr>
        <w:t>Morocco</w:t>
      </w:r>
      <w:r w:rsidR="007E2B5C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He quotes the above opinion of the </w:t>
      </w:r>
      <w:r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Kes</w:t>
      </w:r>
      <w:r w:rsidR="00F17583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s</w:t>
      </w:r>
      <w:r w:rsidRPr="005C75FF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ef Mishneh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 xml:space="preserve"> (Rav Yosef Karo)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who </w:t>
      </w:r>
      <w:r w:rsidR="007A70FC">
        <w:rPr>
          <w:rFonts w:asciiTheme="minorBidi" w:hAnsiTheme="minorBidi"/>
          <w:sz w:val="24"/>
          <w:szCs w:val="24"/>
          <w:shd w:val="clear" w:color="auto" w:fill="FFFFFF"/>
        </w:rPr>
        <w:t>did not object to the move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7A70FC">
        <w:rPr>
          <w:rFonts w:asciiTheme="minorBidi" w:hAnsiTheme="minorBidi"/>
          <w:sz w:val="24"/>
          <w:szCs w:val="24"/>
          <w:shd w:val="clear" w:color="auto" w:fill="FFFFFF"/>
        </w:rPr>
        <w:t xml:space="preserve"> and thus he permits it if the community requires it for practical reasons. </w:t>
      </w:r>
    </w:p>
    <w:p w14:paraId="6322015D" w14:textId="77777777" w:rsidR="00DC183D" w:rsidRDefault="00DC183D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0140FD4A" w14:textId="336D9E1B" w:rsidR="00B6567C" w:rsidRDefault="007A70FC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Rav Ovadya mentions the </w:t>
      </w:r>
      <w:r w:rsidR="005E4CA8">
        <w:rPr>
          <w:rFonts w:asciiTheme="minorBidi" w:hAnsiTheme="minorBidi"/>
          <w:sz w:val="24"/>
          <w:szCs w:val="24"/>
          <w:shd w:val="clear" w:color="auto" w:fill="FFFFFF"/>
        </w:rPr>
        <w:t>opposition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within </w:t>
      </w:r>
      <w:r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Ashkenazi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communities</w:t>
      </w:r>
      <w:r w:rsidR="00073130">
        <w:rPr>
          <w:rFonts w:asciiTheme="minorBidi" w:hAnsiTheme="minorBidi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but 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quotes opinions that these decrees are limited to specific areas and need to be applied only when and where they are relevant. T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he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 xml:space="preserve">original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objection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 xml:space="preserve">of the European 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r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 xml:space="preserve">abbis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was based on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>their concern of possible influence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from the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>R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eform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>M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ovement, 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>a threat that does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not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>exist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nowadays in </w:t>
      </w:r>
      <w:r w:rsidR="007E2B5C">
        <w:rPr>
          <w:rFonts w:asciiTheme="minorBidi" w:hAnsiTheme="minorBidi"/>
          <w:sz w:val="24"/>
          <w:szCs w:val="24"/>
          <w:shd w:val="clear" w:color="auto" w:fill="FFFFFF"/>
        </w:rPr>
        <w:t>Morocco</w:t>
      </w:r>
      <w:r>
        <w:rPr>
          <w:rFonts w:asciiTheme="minorBidi" w:hAnsiTheme="minorBidi"/>
          <w:sz w:val="24"/>
          <w:szCs w:val="24"/>
          <w:shd w:val="clear" w:color="auto" w:fill="FFFFFF"/>
        </w:rPr>
        <w:t>.</w:t>
      </w:r>
    </w:p>
    <w:p w14:paraId="10218028" w14:textId="77777777" w:rsidR="007A70FC" w:rsidRPr="00B6567C" w:rsidRDefault="007A70FC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</w:p>
    <w:p w14:paraId="33A3C388" w14:textId="22C1A215" w:rsidR="00BF4AF1" w:rsidRDefault="00BF4AF1" w:rsidP="00997232">
      <w:pPr>
        <w:spacing w:after="0" w:line="240" w:lineRule="auto"/>
        <w:jc w:val="both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To conclude</w:t>
      </w:r>
      <w:r w:rsidR="009809A3">
        <w:rPr>
          <w:rFonts w:asciiTheme="minorBidi" w:hAnsiTheme="minorBidi"/>
          <w:sz w:val="24"/>
          <w:szCs w:val="24"/>
          <w:shd w:val="clear" w:color="auto" w:fill="FFFFFF"/>
        </w:rPr>
        <w:t xml:space="preserve">,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the </w:t>
      </w:r>
      <w:r w:rsidR="00F17583">
        <w:rPr>
          <w:rFonts w:asciiTheme="minorBidi" w:hAnsiTheme="minorBidi"/>
          <w:sz w:val="24"/>
          <w:szCs w:val="24"/>
          <w:shd w:val="clear" w:color="auto" w:fill="FFFFFF"/>
        </w:rPr>
        <w:t xml:space="preserve">rabbinic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reaction to changing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>the position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of the </w:t>
      </w:r>
      <w:r w:rsidR="00F17583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b</w:t>
      </w:r>
      <w:r w:rsidRPr="000A3411">
        <w:rPr>
          <w:rFonts w:asciiTheme="minorBidi" w:hAnsiTheme="minorBidi"/>
          <w:i/>
          <w:iCs/>
          <w:sz w:val="24"/>
          <w:szCs w:val="24"/>
          <w:shd w:val="clear" w:color="auto" w:fill="FFFFFF"/>
        </w:rPr>
        <w:t>ima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 is a great example </w:t>
      </w:r>
      <w:r w:rsidR="009809A3">
        <w:rPr>
          <w:rFonts w:asciiTheme="minorBidi" w:hAnsiTheme="minorBidi"/>
          <w:sz w:val="24"/>
          <w:szCs w:val="24"/>
          <w:shd w:val="clear" w:color="auto" w:fill="FFFFFF"/>
        </w:rPr>
        <w:t xml:space="preserve">of 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how </w:t>
      </w:r>
      <w:r w:rsidR="009809A3">
        <w:rPr>
          <w:rFonts w:asciiTheme="minorBidi" w:hAnsiTheme="minorBidi"/>
          <w:sz w:val="24"/>
          <w:szCs w:val="24"/>
          <w:shd w:val="clear" w:color="auto" w:fill="FFFFFF"/>
        </w:rPr>
        <w:t>reforming minor customs of Jewish tradition can be seen as a threat to Orthodoxy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>.</w:t>
      </w:r>
      <w:r w:rsidR="009809A3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>W</w:t>
      </w:r>
      <w:r w:rsidR="009809A3">
        <w:rPr>
          <w:rFonts w:asciiTheme="minorBidi" w:hAnsiTheme="minorBidi"/>
          <w:sz w:val="24"/>
          <w:szCs w:val="24"/>
          <w:shd w:val="clear" w:color="auto" w:fill="FFFFFF"/>
        </w:rPr>
        <w:t xml:space="preserve">hile the response </w:t>
      </w:r>
      <w:r w:rsidR="00B1097C">
        <w:rPr>
          <w:rFonts w:asciiTheme="minorBidi" w:hAnsiTheme="minorBidi"/>
          <w:sz w:val="24"/>
          <w:szCs w:val="24"/>
          <w:shd w:val="clear" w:color="auto" w:fill="FFFFFF"/>
        </w:rPr>
        <w:t xml:space="preserve">may </w:t>
      </w:r>
      <w:r w:rsidR="009809A3">
        <w:rPr>
          <w:rFonts w:asciiTheme="minorBidi" w:hAnsiTheme="minorBidi"/>
          <w:sz w:val="24"/>
          <w:szCs w:val="24"/>
          <w:shd w:val="clear" w:color="auto" w:fill="FFFFFF"/>
        </w:rPr>
        <w:t xml:space="preserve">be harsh and radical, it must be </w:t>
      </w:r>
      <w:r w:rsidR="005E247A">
        <w:rPr>
          <w:rFonts w:asciiTheme="minorBidi" w:hAnsiTheme="minorBidi"/>
          <w:sz w:val="24"/>
          <w:szCs w:val="24"/>
          <w:shd w:val="clear" w:color="auto" w:fill="FFFFFF"/>
        </w:rPr>
        <w:t>understood in the context of the time and</w:t>
      </w:r>
      <w:r w:rsidR="009809A3">
        <w:rPr>
          <w:rFonts w:asciiTheme="minorBidi" w:hAnsiTheme="minorBidi"/>
          <w:sz w:val="24"/>
          <w:szCs w:val="24"/>
          <w:shd w:val="clear" w:color="auto" w:fill="FFFFFF"/>
        </w:rPr>
        <w:t xml:space="preserve"> place in which these</w:t>
      </w:r>
      <w:r w:rsidR="00DC183D">
        <w:rPr>
          <w:rFonts w:asciiTheme="minorBidi" w:hAnsiTheme="minorBidi"/>
          <w:sz w:val="24"/>
          <w:szCs w:val="24"/>
          <w:shd w:val="clear" w:color="auto" w:fill="FFFFFF"/>
        </w:rPr>
        <w:t xml:space="preserve"> issues</w:t>
      </w:r>
      <w:r w:rsidR="009809A3">
        <w:rPr>
          <w:rFonts w:asciiTheme="minorBidi" w:hAnsiTheme="minorBidi"/>
          <w:sz w:val="24"/>
          <w:szCs w:val="24"/>
          <w:shd w:val="clear" w:color="auto" w:fill="FFFFFF"/>
        </w:rPr>
        <w:t xml:space="preserve"> exist. </w:t>
      </w:r>
    </w:p>
    <w:sectPr w:rsidR="00BF4AF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0C89" w14:textId="77777777" w:rsidR="00A17C45" w:rsidRDefault="00A17C45" w:rsidP="007032A6">
      <w:pPr>
        <w:spacing w:after="0" w:line="240" w:lineRule="auto"/>
      </w:pPr>
      <w:r>
        <w:separator/>
      </w:r>
    </w:p>
  </w:endnote>
  <w:endnote w:type="continuationSeparator" w:id="0">
    <w:p w14:paraId="7ED906CB" w14:textId="77777777" w:rsidR="00A17C45" w:rsidRDefault="00A17C45" w:rsidP="0070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08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90A3B" w14:textId="5DBC965C" w:rsidR="00D121FE" w:rsidRDefault="00D121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F3925" w14:textId="77777777" w:rsidR="00D121FE" w:rsidRDefault="00D12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9184" w14:textId="77777777" w:rsidR="00A17C45" w:rsidRDefault="00A17C45" w:rsidP="007032A6">
      <w:pPr>
        <w:spacing w:after="0" w:line="240" w:lineRule="auto"/>
      </w:pPr>
      <w:r>
        <w:separator/>
      </w:r>
    </w:p>
  </w:footnote>
  <w:footnote w:type="continuationSeparator" w:id="0">
    <w:p w14:paraId="0CE51E49" w14:textId="77777777" w:rsidR="00A17C45" w:rsidRDefault="00A17C45" w:rsidP="007032A6">
      <w:pPr>
        <w:spacing w:after="0" w:line="240" w:lineRule="auto"/>
      </w:pPr>
      <w:r>
        <w:continuationSeparator/>
      </w:r>
    </w:p>
  </w:footnote>
  <w:footnote w:id="1">
    <w:p w14:paraId="77FC1CE8" w14:textId="0BD3577B" w:rsidR="006D3561" w:rsidRPr="00D121FE" w:rsidRDefault="006D3561" w:rsidP="00015DB8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Yitzhak Moshe Elbogen, </w:t>
      </w:r>
      <w:r w:rsidRPr="00D121FE">
        <w:rPr>
          <w:rFonts w:asciiTheme="minorBidi" w:hAnsiTheme="minorBidi"/>
          <w:i/>
          <w:iCs/>
        </w:rPr>
        <w:t>Ha</w:t>
      </w:r>
      <w:r w:rsidR="006368E1">
        <w:rPr>
          <w:rFonts w:asciiTheme="minorBidi" w:hAnsiTheme="minorBidi"/>
          <w:i/>
          <w:iCs/>
        </w:rPr>
        <w:t>t</w:t>
      </w:r>
      <w:r w:rsidRPr="00D121FE">
        <w:rPr>
          <w:rFonts w:asciiTheme="minorBidi" w:hAnsiTheme="minorBidi"/>
          <w:i/>
          <w:iCs/>
        </w:rPr>
        <w:t xml:space="preserve">efillah </w:t>
      </w:r>
      <w:r w:rsidR="006368E1">
        <w:rPr>
          <w:rFonts w:asciiTheme="minorBidi" w:hAnsiTheme="minorBidi"/>
          <w:i/>
          <w:iCs/>
        </w:rPr>
        <w:t>b</w:t>
      </w:r>
      <w:r w:rsidRPr="00D121FE">
        <w:rPr>
          <w:rFonts w:asciiTheme="minorBidi" w:hAnsiTheme="minorBidi"/>
          <w:i/>
          <w:iCs/>
        </w:rPr>
        <w:t>’Yisrael</w:t>
      </w:r>
      <w:r w:rsidR="006368E1">
        <w:rPr>
          <w:rFonts w:asciiTheme="minorBidi" w:hAnsiTheme="minorBidi"/>
          <w:i/>
          <w:iCs/>
        </w:rPr>
        <w:t xml:space="preserve"> b’Hitpatchutah Hahistorit</w:t>
      </w:r>
      <w:r w:rsidRPr="00D121FE">
        <w:rPr>
          <w:rFonts w:asciiTheme="minorBidi" w:hAnsiTheme="minorBidi"/>
        </w:rPr>
        <w:t>, Dvir Publishing House, Tel Aviv, 1972, pp.292-294</w:t>
      </w:r>
      <w:r w:rsidR="008B1D99">
        <w:rPr>
          <w:rFonts w:asciiTheme="minorBidi" w:hAnsiTheme="minorBidi"/>
        </w:rPr>
        <w:t>.</w:t>
      </w:r>
    </w:p>
  </w:footnote>
  <w:footnote w:id="2">
    <w:p w14:paraId="3E59EEB5" w14:textId="24AE46FD" w:rsidR="00BF4AF1" w:rsidRPr="00D121FE" w:rsidRDefault="00BF4AF1" w:rsidP="00BF4AF1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Can be found online at https://hebrewbooks.org/777</w:t>
      </w:r>
      <w:r w:rsidR="00E126F2">
        <w:rPr>
          <w:rFonts w:asciiTheme="minorBidi" w:hAnsiTheme="minorBidi"/>
        </w:rPr>
        <w:t>.</w:t>
      </w:r>
    </w:p>
  </w:footnote>
  <w:footnote w:id="3">
    <w:p w14:paraId="63AA8714" w14:textId="7CFA9F93" w:rsidR="006D3561" w:rsidRPr="00D121FE" w:rsidRDefault="006D3561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</w:t>
      </w:r>
      <w:r w:rsidRPr="00D121FE">
        <w:rPr>
          <w:rFonts w:asciiTheme="minorBidi" w:hAnsiTheme="minorBidi"/>
          <w:i/>
          <w:iCs/>
        </w:rPr>
        <w:t>Mishne</w:t>
      </w:r>
      <w:r w:rsidR="00E126F2">
        <w:rPr>
          <w:rFonts w:asciiTheme="minorBidi" w:hAnsiTheme="minorBidi"/>
          <w:i/>
          <w:iCs/>
        </w:rPr>
        <w:t>h</w:t>
      </w:r>
      <w:r w:rsidRPr="00D121FE">
        <w:rPr>
          <w:rFonts w:asciiTheme="minorBidi" w:hAnsiTheme="minorBidi"/>
          <w:i/>
          <w:iCs/>
        </w:rPr>
        <w:t xml:space="preserve"> Torah Hi</w:t>
      </w:r>
      <w:r w:rsidR="00E126F2">
        <w:rPr>
          <w:rFonts w:asciiTheme="minorBidi" w:hAnsiTheme="minorBidi"/>
          <w:i/>
          <w:iCs/>
        </w:rPr>
        <w:t>l</w:t>
      </w:r>
      <w:r w:rsidR="00D121FE" w:rsidRPr="00D121FE">
        <w:rPr>
          <w:rFonts w:asciiTheme="minorBidi" w:hAnsiTheme="minorBidi"/>
          <w:i/>
          <w:iCs/>
        </w:rPr>
        <w:t>k</w:t>
      </w:r>
      <w:r w:rsidRPr="00D121FE">
        <w:rPr>
          <w:rFonts w:asciiTheme="minorBidi" w:hAnsiTheme="minorBidi"/>
          <w:i/>
          <w:iCs/>
        </w:rPr>
        <w:t>hot Tefil</w:t>
      </w:r>
      <w:r w:rsidR="00D121FE" w:rsidRPr="00D121FE">
        <w:rPr>
          <w:rFonts w:asciiTheme="minorBidi" w:hAnsiTheme="minorBidi"/>
          <w:i/>
          <w:iCs/>
        </w:rPr>
        <w:t>l</w:t>
      </w:r>
      <w:r w:rsidRPr="00D121FE">
        <w:rPr>
          <w:rFonts w:asciiTheme="minorBidi" w:hAnsiTheme="minorBidi"/>
          <w:i/>
          <w:iCs/>
        </w:rPr>
        <w:t>a</w:t>
      </w:r>
      <w:r w:rsidRPr="00D121FE">
        <w:rPr>
          <w:rFonts w:asciiTheme="minorBidi" w:hAnsiTheme="minorBidi"/>
        </w:rPr>
        <w:t xml:space="preserve"> 11:3</w:t>
      </w:r>
      <w:r w:rsidR="00E126F2">
        <w:rPr>
          <w:rFonts w:asciiTheme="minorBidi" w:hAnsiTheme="minorBidi"/>
        </w:rPr>
        <w:t>.</w:t>
      </w:r>
    </w:p>
  </w:footnote>
  <w:footnote w:id="4">
    <w:p w14:paraId="656C6ECA" w14:textId="249C846D" w:rsidR="00E20023" w:rsidRPr="004A7C88" w:rsidRDefault="00E200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A7C88">
        <w:rPr>
          <w:i/>
          <w:iCs/>
        </w:rPr>
        <w:t>Kessef Mishneh</w:t>
      </w:r>
      <w:r w:rsidR="004A7C88">
        <w:t xml:space="preserve"> ibid. 3-4. </w:t>
      </w:r>
    </w:p>
  </w:footnote>
  <w:footnote w:id="5">
    <w:p w14:paraId="395C0364" w14:textId="77A4FCD5" w:rsidR="003F46A8" w:rsidRPr="00D121FE" w:rsidRDefault="003F46A8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OC 150:5</w:t>
      </w:r>
      <w:r w:rsidR="00E126F2">
        <w:rPr>
          <w:rFonts w:asciiTheme="minorBidi" w:hAnsiTheme="minorBidi"/>
        </w:rPr>
        <w:t>.</w:t>
      </w:r>
    </w:p>
  </w:footnote>
  <w:footnote w:id="6">
    <w:p w14:paraId="62443AFB" w14:textId="4DF88541" w:rsidR="006D3561" w:rsidRPr="00D121FE" w:rsidRDefault="006D3561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="00061D1E">
        <w:rPr>
          <w:rFonts w:asciiTheme="minorBidi" w:hAnsiTheme="minorBidi"/>
        </w:rPr>
        <w:t xml:space="preserve"> </w:t>
      </w:r>
      <w:r w:rsidRPr="005C75FF">
        <w:rPr>
          <w:rFonts w:asciiTheme="minorBidi" w:hAnsiTheme="minorBidi"/>
          <w:i/>
          <w:iCs/>
        </w:rPr>
        <w:t>Shut Chatam Sofer</w:t>
      </w:r>
      <w:r w:rsidRPr="00D121FE">
        <w:rPr>
          <w:rFonts w:asciiTheme="minorBidi" w:hAnsiTheme="minorBidi"/>
        </w:rPr>
        <w:t xml:space="preserve"> OC</w:t>
      </w:r>
      <w:r w:rsidR="00076DF2" w:rsidRPr="00D121FE">
        <w:rPr>
          <w:rFonts w:asciiTheme="minorBidi" w:hAnsiTheme="minorBidi"/>
        </w:rPr>
        <w:t xml:space="preserve"> 28</w:t>
      </w:r>
      <w:r w:rsidR="00061D1E">
        <w:rPr>
          <w:rFonts w:asciiTheme="minorBidi" w:hAnsiTheme="minorBidi"/>
        </w:rPr>
        <w:t>.</w:t>
      </w:r>
    </w:p>
  </w:footnote>
  <w:footnote w:id="7">
    <w:p w14:paraId="1B1756F8" w14:textId="497C24D8" w:rsidR="006D3561" w:rsidRPr="00D121FE" w:rsidRDefault="006D3561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</w:t>
      </w:r>
      <w:r w:rsidRPr="005C75FF">
        <w:rPr>
          <w:rFonts w:asciiTheme="minorBidi" w:hAnsiTheme="minorBidi"/>
          <w:i/>
          <w:iCs/>
        </w:rPr>
        <w:t>Shut M</w:t>
      </w:r>
      <w:r w:rsidR="007F2CCD">
        <w:rPr>
          <w:rFonts w:asciiTheme="minorBidi" w:hAnsiTheme="minorBidi"/>
          <w:i/>
          <w:iCs/>
        </w:rPr>
        <w:t>ei</w:t>
      </w:r>
      <w:r w:rsidRPr="005C75FF">
        <w:rPr>
          <w:rFonts w:asciiTheme="minorBidi" w:hAnsiTheme="minorBidi"/>
          <w:i/>
          <w:iCs/>
        </w:rPr>
        <w:t>shiv Davar</w:t>
      </w:r>
      <w:r w:rsidR="00076DF2" w:rsidRPr="00D121FE">
        <w:rPr>
          <w:rFonts w:asciiTheme="minorBidi" w:hAnsiTheme="minorBidi"/>
        </w:rPr>
        <w:t xml:space="preserve"> 15</w:t>
      </w:r>
      <w:r w:rsidR="007F2CCD">
        <w:rPr>
          <w:rFonts w:asciiTheme="minorBidi" w:hAnsiTheme="minorBidi"/>
        </w:rPr>
        <w:t>.</w:t>
      </w:r>
    </w:p>
  </w:footnote>
  <w:footnote w:id="8">
    <w:p w14:paraId="4E04DFD0" w14:textId="75BA494E" w:rsidR="009809A3" w:rsidRPr="00D121FE" w:rsidRDefault="009809A3" w:rsidP="009809A3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</w:t>
      </w:r>
      <w:r w:rsidR="00457258" w:rsidRPr="00A03664">
        <w:rPr>
          <w:rFonts w:asciiTheme="minorBidi" w:hAnsiTheme="minorBidi"/>
          <w:i/>
          <w:iCs/>
        </w:rPr>
        <w:t>B</w:t>
      </w:r>
      <w:r w:rsidR="00457258">
        <w:rPr>
          <w:rFonts w:asciiTheme="minorBidi" w:hAnsiTheme="minorBidi"/>
          <w:i/>
          <w:iCs/>
        </w:rPr>
        <w:t>i’</w:t>
      </w:r>
      <w:r w:rsidR="00457258" w:rsidRPr="00A03664">
        <w:rPr>
          <w:rFonts w:asciiTheme="minorBidi" w:hAnsiTheme="minorBidi"/>
          <w:i/>
          <w:iCs/>
        </w:rPr>
        <w:t>ur Halakha</w:t>
      </w:r>
      <w:r w:rsidR="00457258" w:rsidRPr="00D121FE">
        <w:rPr>
          <w:rFonts w:asciiTheme="minorBidi" w:hAnsiTheme="minorBidi"/>
        </w:rPr>
        <w:t xml:space="preserve"> </w:t>
      </w:r>
      <w:r w:rsidRPr="00D121FE">
        <w:rPr>
          <w:rFonts w:asciiTheme="minorBidi" w:hAnsiTheme="minorBidi"/>
        </w:rPr>
        <w:t xml:space="preserve">OC 150, </w:t>
      </w:r>
      <w:r w:rsidR="00457258">
        <w:rPr>
          <w:rFonts w:asciiTheme="minorBidi" w:hAnsiTheme="minorBidi"/>
        </w:rPr>
        <w:t xml:space="preserve">s.v. </w:t>
      </w:r>
      <w:r w:rsidRPr="000A3411">
        <w:rPr>
          <w:rFonts w:asciiTheme="minorBidi" w:hAnsiTheme="minorBidi"/>
          <w:i/>
          <w:iCs/>
        </w:rPr>
        <w:t>B’emtza be</w:t>
      </w:r>
      <w:r w:rsidR="00457258">
        <w:rPr>
          <w:rFonts w:asciiTheme="minorBidi" w:hAnsiTheme="minorBidi"/>
          <w:i/>
          <w:iCs/>
        </w:rPr>
        <w:t>i</w:t>
      </w:r>
      <w:r w:rsidRPr="000A3411">
        <w:rPr>
          <w:rFonts w:asciiTheme="minorBidi" w:hAnsiTheme="minorBidi"/>
          <w:i/>
          <w:iCs/>
        </w:rPr>
        <w:t>t ha</w:t>
      </w:r>
      <w:r w:rsidR="000A3411" w:rsidRPr="000A3411">
        <w:rPr>
          <w:rFonts w:asciiTheme="minorBidi" w:hAnsiTheme="minorBidi"/>
          <w:i/>
          <w:iCs/>
        </w:rPr>
        <w:t>-</w:t>
      </w:r>
      <w:r w:rsidRPr="000A3411">
        <w:rPr>
          <w:rFonts w:asciiTheme="minorBidi" w:hAnsiTheme="minorBidi"/>
          <w:i/>
          <w:iCs/>
        </w:rPr>
        <w:t>knesset</w:t>
      </w:r>
      <w:r w:rsidR="00457258">
        <w:rPr>
          <w:rFonts w:asciiTheme="minorBidi" w:hAnsiTheme="minorBidi"/>
        </w:rPr>
        <w:t>.</w:t>
      </w:r>
    </w:p>
  </w:footnote>
  <w:footnote w:id="9">
    <w:p w14:paraId="29832FD5" w14:textId="069B2848" w:rsidR="003C386F" w:rsidRPr="00D121FE" w:rsidRDefault="003C386F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See </w:t>
      </w:r>
      <w:r w:rsidRPr="005C75FF">
        <w:rPr>
          <w:rFonts w:asciiTheme="minorBidi" w:hAnsiTheme="minorBidi"/>
          <w:i/>
          <w:iCs/>
        </w:rPr>
        <w:t>Nefesh Ha</w:t>
      </w:r>
      <w:r w:rsidR="00457258">
        <w:rPr>
          <w:rFonts w:asciiTheme="minorBidi" w:hAnsiTheme="minorBidi"/>
          <w:i/>
          <w:iCs/>
        </w:rPr>
        <w:t>-R</w:t>
      </w:r>
      <w:r w:rsidRPr="005C75FF">
        <w:rPr>
          <w:rFonts w:asciiTheme="minorBidi" w:hAnsiTheme="minorBidi"/>
          <w:i/>
          <w:iCs/>
        </w:rPr>
        <w:t>av</w:t>
      </w:r>
      <w:r w:rsidRPr="00D121FE">
        <w:rPr>
          <w:rFonts w:asciiTheme="minorBidi" w:hAnsiTheme="minorBidi"/>
        </w:rPr>
        <w:t xml:space="preserve"> 231</w:t>
      </w:r>
      <w:r w:rsidR="00457258">
        <w:rPr>
          <w:rFonts w:asciiTheme="minorBidi" w:hAnsiTheme="minorBidi"/>
        </w:rPr>
        <w:t>.</w:t>
      </w:r>
    </w:p>
  </w:footnote>
  <w:footnote w:id="10">
    <w:p w14:paraId="786CB78C" w14:textId="0964F7D9" w:rsidR="00E24BA0" w:rsidRPr="00D121FE" w:rsidRDefault="00E24BA0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See Baruch Litvin, </w:t>
      </w:r>
      <w:r w:rsidRPr="005C75FF">
        <w:rPr>
          <w:rFonts w:asciiTheme="minorBidi" w:hAnsiTheme="minorBidi"/>
          <w:i/>
          <w:iCs/>
        </w:rPr>
        <w:t>The Sanctity of the Synagogue</w:t>
      </w:r>
      <w:r w:rsidRPr="00D121FE">
        <w:rPr>
          <w:rFonts w:asciiTheme="minorBidi" w:hAnsiTheme="minorBidi"/>
        </w:rPr>
        <w:t>. Ktav ,1987 pp. 114-116</w:t>
      </w:r>
      <w:r w:rsidR="009A16A7">
        <w:rPr>
          <w:rFonts w:asciiTheme="minorBidi" w:hAnsiTheme="minorBidi"/>
        </w:rPr>
        <w:t>.</w:t>
      </w:r>
    </w:p>
  </w:footnote>
  <w:footnote w:id="11">
    <w:p w14:paraId="7D8BF901" w14:textId="19AA5585" w:rsidR="006D3561" w:rsidRPr="00D121FE" w:rsidRDefault="006D3561" w:rsidP="007A70FC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</w:t>
      </w:r>
      <w:r w:rsidRPr="005C75FF">
        <w:rPr>
          <w:rFonts w:asciiTheme="minorBidi" w:hAnsiTheme="minorBidi"/>
          <w:i/>
          <w:iCs/>
        </w:rPr>
        <w:t>Shut Seridei Eish</w:t>
      </w:r>
      <w:r w:rsidRPr="00D121FE">
        <w:rPr>
          <w:rFonts w:asciiTheme="minorBidi" w:hAnsiTheme="minorBidi"/>
        </w:rPr>
        <w:t xml:space="preserve"> </w:t>
      </w:r>
      <w:r w:rsidR="003B1291" w:rsidRPr="00D121FE">
        <w:rPr>
          <w:rFonts w:asciiTheme="minorBidi" w:hAnsiTheme="minorBidi"/>
        </w:rPr>
        <w:t>OC 15</w:t>
      </w:r>
      <w:r w:rsidR="009A16A7">
        <w:rPr>
          <w:rFonts w:asciiTheme="minorBidi" w:hAnsiTheme="minorBidi"/>
        </w:rPr>
        <w:t>.</w:t>
      </w:r>
    </w:p>
  </w:footnote>
  <w:footnote w:id="12">
    <w:p w14:paraId="3CD5C9C7" w14:textId="01850153" w:rsidR="008F2214" w:rsidRPr="00D121FE" w:rsidRDefault="008F2214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</w:t>
      </w:r>
      <w:r w:rsidRPr="005C75FF">
        <w:rPr>
          <w:rFonts w:asciiTheme="minorBidi" w:hAnsiTheme="minorBidi"/>
          <w:i/>
          <w:iCs/>
        </w:rPr>
        <w:t>Shut Igrot Moshe</w:t>
      </w:r>
      <w:r w:rsidRPr="00D121FE">
        <w:rPr>
          <w:rFonts w:asciiTheme="minorBidi" w:hAnsiTheme="minorBidi"/>
        </w:rPr>
        <w:t>, OC Vol.2 41-42</w:t>
      </w:r>
      <w:r w:rsidR="009A16A7">
        <w:rPr>
          <w:rFonts w:asciiTheme="minorBidi" w:hAnsiTheme="minorBidi"/>
        </w:rPr>
        <w:t>.</w:t>
      </w:r>
    </w:p>
  </w:footnote>
  <w:footnote w:id="13">
    <w:p w14:paraId="72E4E25E" w14:textId="78F10660" w:rsidR="006D3561" w:rsidRPr="00D121FE" w:rsidRDefault="006D3561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The full detailed story can be found online at </w:t>
      </w:r>
      <w:hyperlink r:id="rId1" w:history="1">
        <w:r w:rsidR="00F17583" w:rsidRPr="00D56BF2">
          <w:rPr>
            <w:rStyle w:val="Hyperlink"/>
            <w:rFonts w:asciiTheme="minorBidi" w:hAnsiTheme="minorBidi"/>
          </w:rPr>
          <w:t>https://lib.cet.ac.il/pages/item.asp?item=16909</w:t>
        </w:r>
      </w:hyperlink>
      <w:r w:rsidR="00F17583">
        <w:rPr>
          <w:rFonts w:asciiTheme="minorBidi" w:hAnsiTheme="minorBidi"/>
        </w:rPr>
        <w:t>.</w:t>
      </w:r>
    </w:p>
  </w:footnote>
  <w:footnote w:id="14">
    <w:p w14:paraId="3700941C" w14:textId="518E83F7" w:rsidR="003B1291" w:rsidRPr="00D121FE" w:rsidRDefault="003B1291">
      <w:pPr>
        <w:pStyle w:val="FootnoteText"/>
        <w:rPr>
          <w:rFonts w:asciiTheme="minorBidi" w:hAnsiTheme="minorBidi"/>
        </w:rPr>
      </w:pPr>
      <w:r w:rsidRPr="00D121FE">
        <w:rPr>
          <w:rStyle w:val="FootnoteReference"/>
          <w:rFonts w:asciiTheme="minorBidi" w:hAnsiTheme="minorBidi"/>
        </w:rPr>
        <w:footnoteRef/>
      </w:r>
      <w:r w:rsidRPr="00D121FE">
        <w:rPr>
          <w:rFonts w:asciiTheme="minorBidi" w:hAnsiTheme="minorBidi"/>
        </w:rPr>
        <w:t xml:space="preserve"> </w:t>
      </w:r>
      <w:r w:rsidRPr="005C75FF">
        <w:rPr>
          <w:rFonts w:asciiTheme="minorBidi" w:hAnsiTheme="minorBidi"/>
          <w:i/>
          <w:iCs/>
        </w:rPr>
        <w:t>Shut Yabia Omer</w:t>
      </w:r>
      <w:r w:rsidRPr="00D121FE">
        <w:rPr>
          <w:rFonts w:asciiTheme="minorBidi" w:hAnsiTheme="minorBidi"/>
        </w:rPr>
        <w:t xml:space="preserve"> 8:17</w:t>
      </w:r>
      <w:r w:rsidR="00F17583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2EAA"/>
    <w:multiLevelType w:val="hybridMultilevel"/>
    <w:tmpl w:val="06ECDC5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A6"/>
    <w:rsid w:val="00015DB8"/>
    <w:rsid w:val="00057818"/>
    <w:rsid w:val="00061D1E"/>
    <w:rsid w:val="00073130"/>
    <w:rsid w:val="00076DF2"/>
    <w:rsid w:val="000A3411"/>
    <w:rsid w:val="000E7674"/>
    <w:rsid w:val="00104834"/>
    <w:rsid w:val="001F3A21"/>
    <w:rsid w:val="0025471E"/>
    <w:rsid w:val="00264B0B"/>
    <w:rsid w:val="00267F12"/>
    <w:rsid w:val="002B6A8C"/>
    <w:rsid w:val="00313FBC"/>
    <w:rsid w:val="00331539"/>
    <w:rsid w:val="00334261"/>
    <w:rsid w:val="003A7FB0"/>
    <w:rsid w:val="003B07E2"/>
    <w:rsid w:val="003B1291"/>
    <w:rsid w:val="003C386F"/>
    <w:rsid w:val="003C4255"/>
    <w:rsid w:val="003F46A8"/>
    <w:rsid w:val="00433E0D"/>
    <w:rsid w:val="00452944"/>
    <w:rsid w:val="00457258"/>
    <w:rsid w:val="0049181C"/>
    <w:rsid w:val="004A7C88"/>
    <w:rsid w:val="004B4781"/>
    <w:rsid w:val="004F0880"/>
    <w:rsid w:val="00580EC9"/>
    <w:rsid w:val="0059063D"/>
    <w:rsid w:val="005923D0"/>
    <w:rsid w:val="005C75FF"/>
    <w:rsid w:val="005C7CAF"/>
    <w:rsid w:val="005D5C08"/>
    <w:rsid w:val="005E247A"/>
    <w:rsid w:val="005E4CA8"/>
    <w:rsid w:val="00634B5A"/>
    <w:rsid w:val="006368E1"/>
    <w:rsid w:val="00695C9C"/>
    <w:rsid w:val="006963B9"/>
    <w:rsid w:val="006D3561"/>
    <w:rsid w:val="007032A6"/>
    <w:rsid w:val="007167A7"/>
    <w:rsid w:val="0073680F"/>
    <w:rsid w:val="007A70FC"/>
    <w:rsid w:val="007B2D92"/>
    <w:rsid w:val="007C29F4"/>
    <w:rsid w:val="007C59AE"/>
    <w:rsid w:val="007D3DF0"/>
    <w:rsid w:val="007E2B5C"/>
    <w:rsid w:val="007F2CCD"/>
    <w:rsid w:val="008478F1"/>
    <w:rsid w:val="008559FF"/>
    <w:rsid w:val="008728C9"/>
    <w:rsid w:val="008B1D99"/>
    <w:rsid w:val="008B4FCB"/>
    <w:rsid w:val="008D2A12"/>
    <w:rsid w:val="008E70BD"/>
    <w:rsid w:val="008F2214"/>
    <w:rsid w:val="008F44F4"/>
    <w:rsid w:val="00942A85"/>
    <w:rsid w:val="009809A3"/>
    <w:rsid w:val="00983A51"/>
    <w:rsid w:val="009963E5"/>
    <w:rsid w:val="00997232"/>
    <w:rsid w:val="009A16A7"/>
    <w:rsid w:val="009A376B"/>
    <w:rsid w:val="009B1BE2"/>
    <w:rsid w:val="009F2266"/>
    <w:rsid w:val="00A17C45"/>
    <w:rsid w:val="00A31430"/>
    <w:rsid w:val="00A5374B"/>
    <w:rsid w:val="00A63D8C"/>
    <w:rsid w:val="00A93BEC"/>
    <w:rsid w:val="00AA1CB0"/>
    <w:rsid w:val="00AE56A5"/>
    <w:rsid w:val="00B0073E"/>
    <w:rsid w:val="00B03F3F"/>
    <w:rsid w:val="00B1097C"/>
    <w:rsid w:val="00B6567C"/>
    <w:rsid w:val="00BB5CCC"/>
    <w:rsid w:val="00BF4AF1"/>
    <w:rsid w:val="00BF7099"/>
    <w:rsid w:val="00C505E3"/>
    <w:rsid w:val="00C76164"/>
    <w:rsid w:val="00CA781E"/>
    <w:rsid w:val="00CC787C"/>
    <w:rsid w:val="00CE1846"/>
    <w:rsid w:val="00D121FE"/>
    <w:rsid w:val="00DC183D"/>
    <w:rsid w:val="00DD58B2"/>
    <w:rsid w:val="00DE4FC4"/>
    <w:rsid w:val="00DE7E1D"/>
    <w:rsid w:val="00DF4898"/>
    <w:rsid w:val="00E126F2"/>
    <w:rsid w:val="00E20023"/>
    <w:rsid w:val="00E24BA0"/>
    <w:rsid w:val="00E35E10"/>
    <w:rsid w:val="00E40881"/>
    <w:rsid w:val="00E47A09"/>
    <w:rsid w:val="00E707E3"/>
    <w:rsid w:val="00E71F32"/>
    <w:rsid w:val="00E9420D"/>
    <w:rsid w:val="00EC602A"/>
    <w:rsid w:val="00ED0637"/>
    <w:rsid w:val="00ED6CBC"/>
    <w:rsid w:val="00EE2F55"/>
    <w:rsid w:val="00F14C8E"/>
    <w:rsid w:val="00F17583"/>
    <w:rsid w:val="00F308EE"/>
    <w:rsid w:val="00F35A83"/>
    <w:rsid w:val="00F35A84"/>
    <w:rsid w:val="00F7337E"/>
    <w:rsid w:val="00F91ADD"/>
    <w:rsid w:val="00F971B9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3E51"/>
  <w15:chartTrackingRefBased/>
  <w15:docId w15:val="{5B4E6760-8755-45DC-B0BC-7973AA8E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A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6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2A6"/>
  </w:style>
  <w:style w:type="paragraph" w:styleId="Footer">
    <w:name w:val="footer"/>
    <w:basedOn w:val="Normal"/>
    <w:link w:val="FooterChar"/>
    <w:uiPriority w:val="99"/>
    <w:unhideWhenUsed/>
    <w:rsid w:val="00703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2A6"/>
  </w:style>
  <w:style w:type="character" w:styleId="Hyperlink">
    <w:name w:val="Hyperlink"/>
    <w:basedOn w:val="DefaultParagraphFont"/>
    <w:uiPriority w:val="99"/>
    <w:unhideWhenUsed/>
    <w:rsid w:val="007B2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D9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8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8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184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6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C59A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1D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D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D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D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6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hilanthrop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Hamburg_Tem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erli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.cet.ac.il/pages/item.asp?item=16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F745-6089-47A0-BF23-E4CAFD15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אנדי ריפקין</cp:lastModifiedBy>
  <cp:revision>4</cp:revision>
  <dcterms:created xsi:type="dcterms:W3CDTF">2021-12-23T09:20:00Z</dcterms:created>
  <dcterms:modified xsi:type="dcterms:W3CDTF">2021-12-23T09:30:00Z</dcterms:modified>
</cp:coreProperties>
</file>