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AB" w:rsidRPr="00BD5AAB" w:rsidRDefault="00BD5AAB" w:rsidP="00BD5AAB">
      <w:pPr>
        <w:shd w:val="clear" w:color="auto" w:fill="FFFFFF"/>
        <w:spacing w:after="0" w:line="240" w:lineRule="auto"/>
        <w:rPr>
          <w:rFonts w:asciiTheme="minorBidi" w:eastAsia="Times New Roman" w:hAnsiTheme="minorBidi"/>
          <w:color w:val="222222"/>
          <w:sz w:val="20"/>
          <w:szCs w:val="20"/>
        </w:rPr>
      </w:pPr>
      <w:r w:rsidRPr="00BD5AAB">
        <w:rPr>
          <w:rFonts w:asciiTheme="minorBidi" w:eastAsia="Times New Roman" w:hAnsiTheme="minorBidi"/>
          <w:b/>
          <w:bCs/>
          <w:color w:val="222222"/>
          <w:sz w:val="24"/>
          <w:szCs w:val="24"/>
          <w:rtl/>
        </w:rPr>
        <w:t>בית המדרש הווירטואלי (</w:t>
      </w:r>
      <w:r w:rsidRPr="00BD5AAB">
        <w:rPr>
          <w:rFonts w:asciiTheme="minorBidi" w:eastAsia="Times New Roman" w:hAnsiTheme="minorBidi"/>
          <w:b/>
          <w:bCs/>
          <w:color w:val="222222"/>
          <w:sz w:val="24"/>
          <w:szCs w:val="24"/>
        </w:rPr>
        <w:t>V.B.M</w:t>
      </w:r>
      <w:r w:rsidRPr="00BD5AAB">
        <w:rPr>
          <w:rFonts w:asciiTheme="minorBidi" w:eastAsia="Times New Roman" w:hAnsiTheme="minorBidi"/>
          <w:b/>
          <w:bCs/>
          <w:color w:val="222222"/>
          <w:sz w:val="24"/>
          <w:szCs w:val="24"/>
          <w:rtl/>
        </w:rPr>
        <w:t>) ע"ש ישראל קושיצקי שליד ישיבת הר עציון</w:t>
      </w:r>
    </w:p>
    <w:p w:rsidR="00BD5AAB" w:rsidRDefault="00BD5AAB" w:rsidP="00BD5AAB">
      <w:pPr>
        <w:shd w:val="clear" w:color="auto" w:fill="FFFFFF"/>
        <w:spacing w:after="0" w:line="240" w:lineRule="auto"/>
        <w:rPr>
          <w:rFonts w:asciiTheme="minorBidi" w:eastAsia="Times New Roman" w:hAnsiTheme="minorBidi"/>
          <w:color w:val="222222"/>
          <w:sz w:val="20"/>
          <w:szCs w:val="20"/>
          <w:rtl/>
        </w:rPr>
      </w:pPr>
      <w:r w:rsidRPr="00BD5AAB">
        <w:rPr>
          <w:rFonts w:asciiTheme="minorBidi" w:eastAsia="Times New Roman" w:hAnsiTheme="minorBidi"/>
          <w:b/>
          <w:bCs/>
          <w:color w:val="222222"/>
          <w:sz w:val="24"/>
          <w:szCs w:val="24"/>
          <w:rtl/>
        </w:rPr>
        <w:t>שיעורים בפרשת השבוע </w:t>
      </w:r>
    </w:p>
    <w:p w:rsidR="00BD5AAB" w:rsidRPr="00BD5AAB" w:rsidRDefault="00BD5AAB" w:rsidP="00BD5AAB">
      <w:pPr>
        <w:shd w:val="clear" w:color="auto" w:fill="FFFFFF"/>
        <w:spacing w:after="0" w:line="240" w:lineRule="auto"/>
        <w:rPr>
          <w:rFonts w:asciiTheme="minorBidi" w:eastAsia="Times New Roman" w:hAnsiTheme="minorBidi"/>
          <w:color w:val="222222"/>
          <w:sz w:val="20"/>
          <w:szCs w:val="20"/>
          <w:rtl/>
        </w:rPr>
      </w:pPr>
    </w:p>
    <w:p w:rsidR="00BD5AAB" w:rsidRPr="00BD5AAB" w:rsidRDefault="00BD5AAB" w:rsidP="00BD5AAB">
      <w:pPr>
        <w:spacing w:after="0" w:line="240" w:lineRule="auto"/>
        <w:jc w:val="both"/>
        <w:rPr>
          <w:rFonts w:asciiTheme="minorBidi" w:eastAsia="Times New Roman" w:hAnsiTheme="minorBidi"/>
          <w:b/>
          <w:bCs/>
          <w:sz w:val="24"/>
          <w:szCs w:val="24"/>
          <w:rtl/>
        </w:rPr>
      </w:pPr>
      <w:r w:rsidRPr="00BD5AAB">
        <w:rPr>
          <w:rFonts w:asciiTheme="minorBidi" w:eastAsia="Times New Roman" w:hAnsiTheme="minorBidi"/>
          <w:b/>
          <w:bCs/>
          <w:sz w:val="24"/>
          <w:szCs w:val="24"/>
          <w:rtl/>
        </w:rPr>
        <w:t>פרשת שלח-לך</w:t>
      </w:r>
      <w:r w:rsidRPr="00BD5AAB">
        <w:rPr>
          <w:rFonts w:asciiTheme="minorBidi" w:eastAsia="Times New Roman" w:hAnsiTheme="minorBidi"/>
          <w:sz w:val="24"/>
          <w:szCs w:val="24"/>
          <w:rtl/>
        </w:rPr>
        <w:t xml:space="preserve"> </w:t>
      </w:r>
      <w:r w:rsidRPr="00BD5AAB">
        <w:rPr>
          <w:rFonts w:asciiTheme="minorBidi" w:eastAsia="Times New Roman" w:hAnsiTheme="minorBidi"/>
          <w:b/>
          <w:bCs/>
          <w:sz w:val="24"/>
          <w:szCs w:val="24"/>
          <w:rtl/>
        </w:rPr>
        <w:t>- עם ישראל וארץ ישראל</w:t>
      </w:r>
    </w:p>
    <w:p w:rsidR="00BD5AAB" w:rsidRDefault="00BD5AAB" w:rsidP="00BD5AAB">
      <w:pPr>
        <w:spacing w:after="0" w:line="240" w:lineRule="auto"/>
        <w:jc w:val="both"/>
        <w:rPr>
          <w:rFonts w:asciiTheme="minorBidi" w:eastAsia="Times New Roman" w:hAnsiTheme="minorBidi"/>
          <w:b/>
          <w:bCs/>
          <w:sz w:val="24"/>
          <w:szCs w:val="24"/>
          <w:rtl/>
        </w:rPr>
      </w:pPr>
      <w:r w:rsidRPr="00BD5AAB">
        <w:rPr>
          <w:rFonts w:asciiTheme="minorBidi" w:eastAsia="Times New Roman" w:hAnsiTheme="minorBidi"/>
          <w:b/>
          <w:bCs/>
          <w:sz w:val="24"/>
          <w:szCs w:val="24"/>
          <w:rtl/>
        </w:rPr>
        <w:t>הרב מאיר שפיגלמן</w:t>
      </w:r>
    </w:p>
    <w:p w:rsidR="00BD5AAB" w:rsidRPr="00BD5AAB" w:rsidRDefault="00BD5AAB" w:rsidP="00BD5AAB">
      <w:pPr>
        <w:spacing w:after="0" w:line="240" w:lineRule="auto"/>
        <w:jc w:val="both"/>
        <w:rPr>
          <w:rFonts w:asciiTheme="minorBidi" w:eastAsia="Times New Roman" w:hAnsiTheme="minorBidi"/>
          <w:b/>
          <w:bCs/>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לאחר פרשת המרגלים, מזכירה התורה מספר דינים שהקשר בינם לבין פרשת המרגלים טוען עיון. בשיעור זה ננסה לעמוד על הקשר שבין פרשת המרגלים, העומדת במרכז פרשתנו, לבין הדינים המוזכרים בסוף הפרשה</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ארבעים שנות הנדודים</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לאחר חטא המרגלים, הקב"ה גזר על בני ישראל שישהו במדבר ארבעים שנה - החל מפרשתנו ועד סוף ספר במדבר. אמנם, התורה אינה מפרטת מה אירע במשך אותן ארבעים שנה. שאלה זו מהותית להבנת כמה פרשיות, וביניהן פרשת קורח. השאלה מתי קורח מרד במשה ובאהרן - האם הוא עשה זאת בתחילת ארבעים השנים או בסוף אותה תקופה - היא מהותית להבנת חטאו</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למעשה, ניתן להביא ראיות לסברה שפרשת קורח אירעה בסוף ארבעים השנים, וכן לסברה שפרשת קורח אירעה באמצע אותה תקופה. ייתכן שפרשת חוקת - המפרטת את הלכות טומאת המת - רומזת לארבעים השנים שבהם מתו בני ישראל. אם כך הדבר - הרי שפרשת קורח אירעה בתחילת ארבעים השנים (שהרי היא מופיעה לפני פרשת חוקת). אמנם, ייתכן גם שהתורה רומזת לארבעים השנים הללו בסוף פרשתנו - במילים "ויהיו בני ישראל במדבר" (במדבר ט"ו, לב). להבנה זו, פרשת קורח אירעה בסוף ארבעים השנה, ולא בתחילתם</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בבעיית התיארוך המדוייק של פרשת קורח נדון אי"ה בשבוע הבא, אולם לשאלה שהעלינו יש משמעות להבנת הפרשיות האחרונות שבפרשתנו. אם הפתיחה "ויהיו בני ישראל במדבר" רומזת לארבעים השנים שבני ישראל נדדו בהם במדבר - הרי ששלושת המצוות שבסוף פרשתנו (הנסכים, חלה וקרבן חטאת) קשורות כנראה לפרשת המרגלים. את הפרשייה החותמת את פרשתנו - פרשת ציצית - ניתן לקשר לפרשת המרגלים באופן ישיר: התורה כותבת שהציצית נועדה כדי ש"לא תתורו אחרי עיניכם", והרי זה היה בדיוק חטאם של המרגלים, שתרו אחרי עיניהם</w:t>
      </w:r>
      <w:bookmarkStart w:id="0" w:name="_ftnref1"/>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"_ftn1"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w:t>
      </w:r>
      <w:r w:rsidRPr="00BD5AAB">
        <w:rPr>
          <w:rFonts w:asciiTheme="minorBidi" w:eastAsia="Times New Roman" w:hAnsiTheme="minorBidi"/>
          <w:sz w:val="24"/>
          <w:szCs w:val="24"/>
        </w:rPr>
        <w:fldChar w:fldCharType="end"/>
      </w:r>
      <w:bookmarkEnd w:id="0"/>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הקשר הפשוט ביותר שניתן לחשוב עליו בין פרשת המרגלים לבין שלושת המצוות שבסוף פרשתנו נוגע ליחס לארץ ישראל. שלושת המצוות הללו פותחות בכותרת "כי תבואו אל ארץ מושבותיכם אשר אני נותן לכם". נראה, שהתורה מבקשת לעודד את בני ישראל, שאף שנגזרה עליהם הגזירה והיה מקום לחשוב או להרגיש שהם לא עתידים להגיע לארץ - למרות זאת, הם יגיעו אליה ויקריבו בה קרבנות. אמנם, כפי שנראה להלן, הקשר בין שלושת המצוות הללו לבין פרשת המרגלים הוא מהותי, ואינו קשור לכותרת המצוות הללו בלבד</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חטאת על כל התורה כולה</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שלוש מצוות נצטוו ישראל לאחר חטא המרגלים: הקרבת הנסכים עם הקרבנות, מצות הפרשת החלה וקרבן חטאת. כפי שנראה להלן, חלק מהמצוות הללו מסמלות שינוי מהותי מהמצב שהיה לפני כן, ועלינו לנסות להבין מדוע ציווה עליהן ה' דווקא בעקבות פרשת המרגלים</w:t>
      </w:r>
      <w:bookmarkStart w:id="1" w:name="_ftnref2"/>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"_ftn2"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[2]</w:t>
      </w:r>
      <w:r w:rsidRPr="00BD5AAB">
        <w:rPr>
          <w:rFonts w:asciiTheme="minorBidi" w:eastAsia="Times New Roman" w:hAnsiTheme="minorBidi"/>
          <w:sz w:val="24"/>
          <w:szCs w:val="24"/>
        </w:rPr>
        <w:fldChar w:fldCharType="end"/>
      </w:r>
      <w:bookmarkEnd w:id="1"/>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נפתח במצווה השלישית שבני ישראל נצטוו עליה בפרשה זו: הקרבת קרבן מיוחד, שמקריבים אותו כאשר עוברים על כל המצוות</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Pr="00BD5AAB" w:rsidRDefault="00BD5AAB" w:rsidP="00BD5AAB">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t>"</w:t>
      </w:r>
      <w:r w:rsidRPr="00BD5AAB">
        <w:rPr>
          <w:rFonts w:asciiTheme="minorBidi" w:eastAsia="Times New Roman" w:hAnsiTheme="minorBidi"/>
          <w:sz w:val="24"/>
          <w:szCs w:val="24"/>
          <w:rtl/>
        </w:rPr>
        <w:t>וכי תשגו ולא תעשו את כל המצות האלה אשר דבר ה' אל משה". (במדבר ט"ו, כב)</w:t>
      </w: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lastRenderedPageBreak/>
        <w:t>כיוון שברור שאי אפשר לעבור על כל המצוות - ניתן לפרש את הסיטואציה שהתורה מתארת כאן בשני אופנים</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b/>
          <w:bCs/>
          <w:sz w:val="24"/>
          <w:szCs w:val="24"/>
          <w:rtl/>
        </w:rPr>
        <w:t>א</w:t>
      </w:r>
      <w:r w:rsidRPr="00BD5AAB">
        <w:rPr>
          <w:rFonts w:asciiTheme="minorBidi" w:eastAsia="Times New Roman" w:hAnsiTheme="minorBidi"/>
          <w:b/>
          <w:bCs/>
          <w:sz w:val="24"/>
          <w:szCs w:val="24"/>
        </w:rPr>
        <w:t>.</w:t>
      </w:r>
      <w:r w:rsidRPr="00BD5AAB">
        <w:rPr>
          <w:rFonts w:asciiTheme="minorBidi" w:eastAsia="Times New Roman" w:hAnsiTheme="minorBidi"/>
          <w:sz w:val="24"/>
          <w:szCs w:val="24"/>
        </w:rPr>
        <w:t xml:space="preserve"> </w:t>
      </w:r>
      <w:r w:rsidRPr="00BD5AAB">
        <w:rPr>
          <w:rFonts w:asciiTheme="minorBidi" w:eastAsia="Times New Roman" w:hAnsiTheme="minorBidi"/>
          <w:sz w:val="24"/>
          <w:szCs w:val="24"/>
          <w:rtl/>
        </w:rPr>
        <w:t xml:space="preserve">ייתכן שמדובר על ציבור העובר על </w:t>
      </w:r>
      <w:r w:rsidRPr="00BD5AAB">
        <w:rPr>
          <w:rFonts w:asciiTheme="minorBidi" w:eastAsia="Times New Roman" w:hAnsiTheme="minorBidi"/>
          <w:b/>
          <w:bCs/>
          <w:sz w:val="24"/>
          <w:szCs w:val="24"/>
          <w:rtl/>
        </w:rPr>
        <w:t xml:space="preserve">אחת </w:t>
      </w:r>
      <w:r w:rsidRPr="00BD5AAB">
        <w:rPr>
          <w:rFonts w:asciiTheme="minorBidi" w:eastAsia="Times New Roman" w:hAnsiTheme="minorBidi"/>
          <w:sz w:val="24"/>
          <w:szCs w:val="24"/>
          <w:rtl/>
        </w:rPr>
        <w:t>מהמצוות שבתורה. לפי הבנה זו, יש לקרוא את הפסוק הזה בדומה לפסוקי החטאת שבתחילת ספר ויקרא</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Pr>
        <w:t>"</w:t>
      </w:r>
      <w:r w:rsidRPr="00BD5AAB">
        <w:rPr>
          <w:rFonts w:asciiTheme="minorBidi" w:eastAsia="Times New Roman" w:hAnsiTheme="minorBidi"/>
          <w:sz w:val="24"/>
          <w:szCs w:val="24"/>
          <w:rtl/>
        </w:rPr>
        <w:t xml:space="preserve">ואם כל עדת ישראל ישגו ונעלם דבר מעיני הקהל, ועשו </w:t>
      </w:r>
      <w:r w:rsidRPr="00BD5AAB">
        <w:rPr>
          <w:rFonts w:asciiTheme="minorBidi" w:eastAsia="Times New Roman" w:hAnsiTheme="minorBidi"/>
          <w:b/>
          <w:bCs/>
          <w:sz w:val="24"/>
          <w:szCs w:val="24"/>
          <w:rtl/>
        </w:rPr>
        <w:t xml:space="preserve">אחת </w:t>
      </w:r>
      <w:r w:rsidRPr="00BD5AAB">
        <w:rPr>
          <w:rFonts w:asciiTheme="minorBidi" w:eastAsia="Times New Roman" w:hAnsiTheme="minorBidi"/>
          <w:sz w:val="24"/>
          <w:szCs w:val="24"/>
          <w:rtl/>
        </w:rPr>
        <w:t>מכל מצות ה' אשר לא תעשינה ואשמו". (ויקרא ד', יג)</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4C02E5">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אמנם, להבנה זו קשה מהו ההבדל בין שגגות הציבור והיחיד שבפרשתנו לבין שגגות הציבור והיחיד שבפרשת ויקרא</w:t>
      </w:r>
      <w:bookmarkStart w:id="2" w:name="_ftnref3"/>
      <w:r w:rsidR="004C02E5">
        <w:rPr>
          <w:rFonts w:asciiTheme="minorBidi" w:eastAsia="Times New Roman" w:hAnsiTheme="minorBidi" w:hint="cs"/>
          <w:sz w:val="24"/>
          <w:szCs w:val="24"/>
          <w:rtl/>
        </w:rPr>
        <w:t>.</w:t>
      </w:r>
      <w:hyperlink w:anchor="_ftn3" w:history="1">
        <w:r w:rsidRPr="00BD5AAB">
          <w:rPr>
            <w:rFonts w:asciiTheme="minorBidi" w:eastAsia="Times New Roman" w:hAnsiTheme="minorBidi"/>
            <w:color w:val="0000FF"/>
            <w:sz w:val="24"/>
            <w:szCs w:val="24"/>
            <w:u w:val="single"/>
          </w:rPr>
          <w:t>[3]</w:t>
        </w:r>
      </w:hyperlink>
      <w:bookmarkEnd w:id="2"/>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כמו כן, התורה משתמשת בלשון</w:t>
      </w:r>
      <w:r w:rsidRPr="00BD5AAB">
        <w:rPr>
          <w:rFonts w:asciiTheme="minorBidi" w:eastAsia="Times New Roman" w:hAnsiTheme="minorBidi"/>
          <w:sz w:val="24"/>
          <w:szCs w:val="24"/>
        </w:rPr>
        <w:t xml:space="preserve"> "</w:t>
      </w:r>
      <w:r w:rsidRPr="00BD5AAB">
        <w:rPr>
          <w:rFonts w:asciiTheme="minorBidi" w:eastAsia="Times New Roman" w:hAnsiTheme="minorBidi"/>
          <w:b/>
          <w:bCs/>
          <w:sz w:val="24"/>
          <w:szCs w:val="24"/>
          <w:rtl/>
        </w:rPr>
        <w:t xml:space="preserve">את כל </w:t>
      </w:r>
      <w:r w:rsidRPr="00BD5AAB">
        <w:rPr>
          <w:rFonts w:asciiTheme="minorBidi" w:eastAsia="Times New Roman" w:hAnsiTheme="minorBidi"/>
          <w:sz w:val="24"/>
          <w:szCs w:val="24"/>
          <w:rtl/>
        </w:rPr>
        <w:t xml:space="preserve">אשר צוה ה'", ועובדה זו מדגישה את ההבדל שבין פרשתנו לבין פרשת ויקרא. התורה גם משתמשת במילים דומות בתיאור קרבן השגגה ובפרשת ציצית ("וזכרתם </w:t>
      </w:r>
      <w:r w:rsidRPr="00BD5AAB">
        <w:rPr>
          <w:rFonts w:asciiTheme="minorBidi" w:eastAsia="Times New Roman" w:hAnsiTheme="minorBidi"/>
          <w:b/>
          <w:bCs/>
          <w:sz w:val="24"/>
          <w:szCs w:val="24"/>
          <w:rtl/>
        </w:rPr>
        <w:t xml:space="preserve">את כל </w:t>
      </w:r>
      <w:r w:rsidRPr="00BD5AAB">
        <w:rPr>
          <w:rFonts w:asciiTheme="minorBidi" w:eastAsia="Times New Roman" w:hAnsiTheme="minorBidi"/>
          <w:sz w:val="24"/>
          <w:szCs w:val="24"/>
          <w:rtl/>
        </w:rPr>
        <w:t>מצוותַי"), והציצית ודאי נועדה להזכיר את כל המצוות ולאו דווקא אחת מביניהן</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4C02E5">
      <w:pPr>
        <w:spacing w:after="0" w:line="240" w:lineRule="auto"/>
        <w:jc w:val="both"/>
        <w:rPr>
          <w:rFonts w:asciiTheme="minorBidi" w:eastAsia="Times New Roman" w:hAnsiTheme="minorBidi"/>
          <w:sz w:val="24"/>
          <w:szCs w:val="24"/>
          <w:rtl/>
        </w:rPr>
      </w:pPr>
      <w:r w:rsidRPr="00BD5AAB">
        <w:rPr>
          <w:rFonts w:asciiTheme="minorBidi" w:eastAsia="Times New Roman" w:hAnsiTheme="minorBidi"/>
          <w:b/>
          <w:bCs/>
          <w:sz w:val="24"/>
          <w:szCs w:val="24"/>
          <w:rtl/>
        </w:rPr>
        <w:t>ב</w:t>
      </w:r>
      <w:r w:rsidRPr="00BD5AAB">
        <w:rPr>
          <w:rFonts w:asciiTheme="minorBidi" w:eastAsia="Times New Roman" w:hAnsiTheme="minorBidi"/>
          <w:b/>
          <w:bCs/>
          <w:sz w:val="24"/>
          <w:szCs w:val="24"/>
        </w:rPr>
        <w:t>.</w:t>
      </w:r>
      <w:r w:rsidRPr="00BD5AAB">
        <w:rPr>
          <w:rFonts w:asciiTheme="minorBidi" w:eastAsia="Times New Roman" w:hAnsiTheme="minorBidi"/>
          <w:sz w:val="24"/>
          <w:szCs w:val="24"/>
        </w:rPr>
        <w:t xml:space="preserve"> </w:t>
      </w:r>
      <w:r w:rsidRPr="00BD5AAB">
        <w:rPr>
          <w:rFonts w:asciiTheme="minorBidi" w:eastAsia="Times New Roman" w:hAnsiTheme="minorBidi"/>
          <w:sz w:val="24"/>
          <w:szCs w:val="24"/>
          <w:rtl/>
        </w:rPr>
        <w:t>ייתכן שהתורה עוסקת כאן בקרבנו של אדם העובר איסור השקול כנגד כל המצוות</w:t>
      </w:r>
      <w:bookmarkStart w:id="3" w:name="_ftnref4"/>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"_ftn4"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[4]</w:t>
      </w:r>
      <w:r w:rsidRPr="00BD5AAB">
        <w:rPr>
          <w:rFonts w:asciiTheme="minorBidi" w:eastAsia="Times New Roman" w:hAnsiTheme="minorBidi"/>
          <w:sz w:val="24"/>
          <w:szCs w:val="24"/>
        </w:rPr>
        <w:fldChar w:fldCharType="end"/>
      </w:r>
      <w:bookmarkEnd w:id="3"/>
      <w:r w:rsidR="004C02E5">
        <w:rPr>
          <w:rFonts w:asciiTheme="minorBidi" w:eastAsia="Times New Roman" w:hAnsiTheme="minorBidi"/>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להבנה זו, נראה שקרבן השגגה הזה קשור ישירות לפרשת המרגלים</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במספר מקומות בתורה עולה שעיקר קיום המצוות הוא בארץ. אין כוונתנו דווקא למצוות התלויות בארץ, אלא לכלל המצוות. בברית בין הבתרים הבטיח הקב"ה פעמיים לאברהם שהוא יהיה לו ולזרעו לאלוקים</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Pr>
        <w:t>"</w:t>
      </w:r>
      <w:r w:rsidRPr="00BD5AAB">
        <w:rPr>
          <w:rFonts w:asciiTheme="minorBidi" w:eastAsia="Times New Roman" w:hAnsiTheme="minorBidi"/>
          <w:sz w:val="24"/>
          <w:szCs w:val="24"/>
          <w:rtl/>
        </w:rPr>
        <w:t>והקִמֹתי את בריתי ביני ובינך ובין זרעך אחריך לדֹרֹתם לברית עולם, להיות לך לא-לוהים ולזרעך אחריך: ונתתי לך ולזרעך אחריך את ארץ מגֻריך את כל ארץ כנען לאחֻזת עולם, והייתי להם לא-לוהים". (בראשית י"ז, ז-ח)</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נראה, שהחזרה הכפולה על ההבטחה "להיות לך לא-לוהים" מרמזת על כך שהיחס בין הקב"ה לבין עם ישראל שונה כאשר עם ישראל מצוי בגלות וכאשר הוא מצוי בארצו. עובדה זו עולה בחריפות מדברי דוד לשאול</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Pr>
        <w:t>"</w:t>
      </w:r>
      <w:r w:rsidRPr="00BD5AAB">
        <w:rPr>
          <w:rFonts w:asciiTheme="minorBidi" w:eastAsia="Times New Roman" w:hAnsiTheme="minorBidi"/>
          <w:sz w:val="24"/>
          <w:szCs w:val="24"/>
          <w:rtl/>
        </w:rPr>
        <w:t>כי גרשוני היום מהסתפח בנחלת ה' לאמר לך עבֹד אלהים אחרים". (שמואל א' כ"ו, יט)</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4C02E5">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כביכול, מי שמגורש מן הארץ - עובד עבודה זרה</w:t>
      </w:r>
      <w:bookmarkStart w:id="4" w:name="_ftnref5"/>
      <w:r w:rsidRPr="00BD5AAB">
        <w:rPr>
          <w:rFonts w:asciiTheme="minorBidi" w:eastAsia="Times New Roman" w:hAnsiTheme="minorBidi"/>
          <w:color w:val="0000FF"/>
          <w:sz w:val="24"/>
          <w:szCs w:val="24"/>
          <w:u w:val="single"/>
        </w:rPr>
        <w:t>[5]</w:t>
      </w:r>
      <w:bookmarkEnd w:id="4"/>
      <w:r w:rsidRPr="00BD5AAB">
        <w:rPr>
          <w:rFonts w:asciiTheme="minorBidi" w:eastAsia="Times New Roman" w:hAnsiTheme="minorBidi"/>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לפיכך, ניתן להבין שברגע שעם ישראל מוותר על הכניסה לארץ ישראל - הוא עובר בוויתור זה על כל המצוות שבתורה</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לפי הבנה זו, פרשת קרבן השגגה מסבירה לבני ישראל את חומרתו של חטא המרגלים מזווית ראייה נוספת על דבריו של הקב"ה לאחר אותו חטא. הייחוד שבפרשה זו הוא ההדגשה, שלמרות המעשה החמור - לא ננעלו שערי תיקון, וניתן לתקן את המעוות באמצעות קרבן החטאת</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אם נמשיך באותו קו מחשבה, הרי שפרשת ציצית משלימה את פרשת קרבן השגגה, שכן תפקיד הציצית הוא למנוע הישנות מקרה מעין חטא המרגלים. בהקשר זה, תפקידה של הציצית הוא כפול: מחד - היא מתפקדת כנגד חטא המרגלים, כפי שהוסבר, ומאידך - היא ניתנה לעם ישראל כתגובה על חילול השבת שבפרשת המקושש</w:t>
      </w:r>
      <w:bookmarkStart w:id="5" w:name="_ftnref6"/>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"_ftn6"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[6]</w:t>
      </w:r>
      <w:r w:rsidRPr="00BD5AAB">
        <w:rPr>
          <w:rFonts w:asciiTheme="minorBidi" w:eastAsia="Times New Roman" w:hAnsiTheme="minorBidi"/>
          <w:sz w:val="24"/>
          <w:szCs w:val="24"/>
        </w:rPr>
        <w:fldChar w:fldCharType="end"/>
      </w:r>
      <w:bookmarkEnd w:id="5"/>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פרשת הנסכים</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המצווה הראשונה המופיעה בתורה לאחר חטא המרגלים היא הבאת הנסכים עם הקרבנות. מצווה זו מחודשת, שכן אף שלפני כן מצאנו אפשרות להביא מנחה או לחמים מסויימים - לא הייתה קיימת חובה גורפת להביא נסכים עם הקרבנות. לפיכך, חובת הבאת הנסכים היא חובה חדשה, שהוטלה על כל אדם המביא עולה או שלמים למשכן</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מהם המינים שמביאים מהם נסכים? בפרשת עקב משבחת התורה בפסוק ידוע את יבולה של ארץ ישראל</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Pr>
        <w:t>"</w:t>
      </w:r>
      <w:r w:rsidRPr="00BD5AAB">
        <w:rPr>
          <w:rFonts w:asciiTheme="minorBidi" w:eastAsia="Times New Roman" w:hAnsiTheme="minorBidi"/>
          <w:sz w:val="24"/>
          <w:szCs w:val="24"/>
          <w:rtl/>
        </w:rPr>
        <w:t>ארץ חטה ושעֹרה וגפן ותאנה ורמון, ארץ זית שמן ודבש". (דברים ח', ח)</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4C02E5">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ניתן לראות, שהמינים שנבחרו לנסכים הם המינים המופיעים בצמידות למילה "ארץ": החיטה ושמן הזית</w:t>
      </w:r>
      <w:bookmarkStart w:id="6" w:name="_ftnref7"/>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"_ftn7"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[7]</w:t>
      </w:r>
      <w:r w:rsidRPr="00BD5AAB">
        <w:rPr>
          <w:rFonts w:asciiTheme="minorBidi" w:eastAsia="Times New Roman" w:hAnsiTheme="minorBidi"/>
          <w:sz w:val="24"/>
          <w:szCs w:val="24"/>
        </w:rPr>
        <w:fldChar w:fldCharType="end"/>
      </w:r>
      <w:bookmarkEnd w:id="6"/>
      <w:r w:rsidRPr="00BD5AAB">
        <w:rPr>
          <w:rFonts w:asciiTheme="minorBidi" w:eastAsia="Times New Roman" w:hAnsiTheme="minorBidi"/>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היין, הרחוק יותר מהמלה "ארץ", משמש רק לנסוך ואינו מובא כקרבן ממש</w:t>
      </w:r>
      <w:bookmarkStart w:id="7" w:name="_ftnref8"/>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"_ftn8"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[8]</w:t>
      </w:r>
      <w:r w:rsidRPr="00BD5AAB">
        <w:rPr>
          <w:rFonts w:asciiTheme="minorBidi" w:eastAsia="Times New Roman" w:hAnsiTheme="minorBidi"/>
          <w:sz w:val="24"/>
          <w:szCs w:val="24"/>
        </w:rPr>
        <w:fldChar w:fldCharType="end"/>
      </w:r>
      <w:bookmarkEnd w:id="7"/>
      <w:r w:rsidRPr="00BD5AAB">
        <w:rPr>
          <w:rFonts w:asciiTheme="minorBidi" w:eastAsia="Times New Roman" w:hAnsiTheme="minorBidi"/>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ואילו הדבש - המין הרחוק ביותר מהמילה "ארץ" - נאסר בהעלאה על גבי המזבח. אף חמץ המציין את פעילות האדם מרוחק מ"ארץ" ולכן נאסר להעלות על גבי המזבח</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נראה, אם כן, שמטרת הבאת הנסכים עם הקרבן היא לקשר את הקרבן לארץ ישראל. כיוון שעם ישראל ויתר על ארצו, והעלה אפשרות של עבודת ה' שאינה קשורה לארץ ישראל - הקב"ה הטיל עליהם חובת נסכים, כדי לסמל שכשם שאי אפשר להקריב קרבן בלי נסכים - כך אי אפשר להקריב קרבנות בלי קשר לארץ ישראל</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4C02E5">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ואכן, דיני הנסכים מצביעים על קשר הדוק בינם לבין ארץ ישראל. קרבן החטאת מציין מציאות של חטא, ומציאות כזו אינה אפשרית - מבחינה רעיונית - בארץ ישראל (שהרי הארץ מקיאה את החוטאים), ולכן אין נסכים בקרבן חטאת</w:t>
      </w:r>
      <w:bookmarkStart w:id="8" w:name="_ftnref9"/>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"_ftn9"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[9]</w:t>
      </w:r>
      <w:r w:rsidRPr="00BD5AAB">
        <w:rPr>
          <w:rFonts w:asciiTheme="minorBidi" w:eastAsia="Times New Roman" w:hAnsiTheme="minorBidi"/>
          <w:sz w:val="24"/>
          <w:szCs w:val="24"/>
        </w:rPr>
        <w:fldChar w:fldCharType="end"/>
      </w:r>
      <w:bookmarkEnd w:id="8"/>
      <w:r w:rsidRPr="00BD5AAB">
        <w:rPr>
          <w:rFonts w:asciiTheme="minorBidi" w:eastAsia="Times New Roman" w:hAnsiTheme="minorBidi"/>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יתר על כן: הנסכים הוזכרו לפני פרשתנו ביחס לשני קרבנות - קרבן העומר וקרבן חג השבועות. שני הקרבנות הללו מוקרבים כדי להודות לקב"ה על הארץ שנתן לנו, ולכן הם חויבו בנסכים עוד לפני שכל הקרבנות חויבו בהם. זוהי גם הסיבה לכך שהתורה מדגישה שחובת הנסכים חלה גם על האזרח ועל הגר. לכאורה, ניתן היה לחשוב שהגר פטור מהבאת נסכים, שכן אין לו חלק בארץ. לכן, התורה מדגישה במפורש שאף הוא חייב בהבאת נסכים</w:t>
      </w:r>
      <w:bookmarkStart w:id="9" w:name="_ftnref10"/>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"_ftn10"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[10]</w:t>
      </w:r>
      <w:r w:rsidRPr="00BD5AAB">
        <w:rPr>
          <w:rFonts w:asciiTheme="minorBidi" w:eastAsia="Times New Roman" w:hAnsiTheme="minorBidi"/>
          <w:sz w:val="24"/>
          <w:szCs w:val="24"/>
        </w:rPr>
        <w:fldChar w:fldCharType="end"/>
      </w:r>
      <w:bookmarkEnd w:id="9"/>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הפרשת חלה</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הזכרנו כבר בעבר, שקיים קשר הדוק בין קדושת האדם לבין קדושת הארץ, והתורה כורכת פעמים רבות את שתיהן ביחד. לכן, לאחר שהתורה מצווה על הנסכים, המסמלים את קדושת הארץ - היא עוברת לצוות על הפרשת החלה, המסמלת את קדושת האדם</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4C02E5">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הלחם מסמל במקומות רבים את מעשי האדם</w:t>
      </w:r>
      <w:bookmarkStart w:id="10" w:name="_ftnref11"/>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"_ftn11"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[11]</w:t>
      </w:r>
      <w:r w:rsidRPr="00BD5AAB">
        <w:rPr>
          <w:rFonts w:asciiTheme="minorBidi" w:eastAsia="Times New Roman" w:hAnsiTheme="minorBidi"/>
          <w:sz w:val="24"/>
          <w:szCs w:val="24"/>
        </w:rPr>
        <w:fldChar w:fldCharType="end"/>
      </w:r>
      <w:bookmarkEnd w:id="10"/>
      <w:r w:rsidRPr="00BD5AAB">
        <w:rPr>
          <w:rFonts w:asciiTheme="minorBidi" w:eastAsia="Times New Roman" w:hAnsiTheme="minorBidi"/>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המסר העולה מהפרשה הוא שכפי שקדושה חלה על גידולי הקרקע - כך היא גם חלה על מעשי האדם. התורה מקבילה בין החלה, המובאת מהלחם, לבין תרומת הדגן, המובאת מגידולי הקרקע</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Pr>
        <w:t>"</w:t>
      </w:r>
      <w:r w:rsidRPr="00BD5AAB">
        <w:rPr>
          <w:rFonts w:asciiTheme="minorBidi" w:eastAsia="Times New Roman" w:hAnsiTheme="minorBidi"/>
          <w:sz w:val="24"/>
          <w:szCs w:val="24"/>
          <w:rtl/>
        </w:rPr>
        <w:t>ראשית ערִסֹתכם חלה תרימו תרומה, כתרומת גֹרן כן תרימו אֹתה". (במדבר ט"ו, כ)</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מעתה, משמעות הציווי על החלה הוא שהוויתור על הארץ אינו מפקיע רק את אפשרות עבודת ה' על ידי הקרבנות, אלא מפקיע גם את קדושת האדם. אף הציצית מתייחסת ישירות לקדושת האדם, לפי שהתכלת המסמלת את הקדושה במשכן נמצאת בה כפי שצוין לעיל</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Pr="00BD5AAB" w:rsidRDefault="00BD5AAB" w:rsidP="00BD5AAB">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tl/>
        </w:rPr>
        <w:t>פרשת קורח - הבאה מייד אחרי פרשתנו - היא המשך ישיר של פרשת החלה. שהרי קורח טוען ש"כל העדה כולם קדושים" - משמע, הוא בונה את טענתו על קדושת האדם. ביסודו, טיעון זה הוא נכון, וקורח למד אותו מפרשתנו - מפרשת החלה ומפרשת הציצית</w:t>
      </w:r>
      <w:bookmarkStart w:id="11" w:name="_ftnref12"/>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"_ftn12"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[12]</w:t>
      </w:r>
      <w:r w:rsidRPr="00BD5AAB">
        <w:rPr>
          <w:rFonts w:asciiTheme="minorBidi" w:eastAsia="Times New Roman" w:hAnsiTheme="minorBidi"/>
          <w:sz w:val="24"/>
          <w:szCs w:val="24"/>
        </w:rPr>
        <w:fldChar w:fldCharType="end"/>
      </w:r>
      <w:bookmarkEnd w:id="11"/>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לאור הסבר זה, ניתן גם להבין את פרשת המקושש. לאחר שהתורה חזרה והדגישה שחיוב המצוות העיקרי הוא דווקא בארץ - אין פלא בכך שהמקושש קם והחל לקושש עצים במדבר ביום השבת. התורה פותחת את פרשת המקושש במילים "ויהיו בני ישראל במדבר", שכן זהו הבסיס והתשתית לחטאו של המקושש. במובן זה, חטאו של המקושש יונק משורש דומה לחטאם של המעפילים. המעפילים ניסו להכנס לארץ ללא היתר, והמקושש התריס כנגד הקב"ה וטען שכל עוד הוא אינו מקיים את הבטחתו ואינו מכניס את בני ישראל לארץ - אין חובה לקיים את המצוות</w:t>
      </w:r>
      <w:r w:rsidRPr="00BD5AAB">
        <w:rPr>
          <w:rFonts w:asciiTheme="minorBidi" w:eastAsia="Times New Roman" w:hAnsiTheme="minorBidi"/>
          <w:sz w:val="24"/>
          <w:szCs w:val="24"/>
        </w:rPr>
        <w:t>.</w:t>
      </w:r>
    </w:p>
    <w:p w:rsidR="00BD5AAB" w:rsidRPr="00BD5AAB" w:rsidRDefault="00BD5AAB" w:rsidP="00BD5AAB">
      <w:pPr>
        <w:spacing w:after="0" w:line="240" w:lineRule="auto"/>
        <w:jc w:val="both"/>
        <w:rPr>
          <w:rFonts w:asciiTheme="minorBidi" w:eastAsia="Times New Roman" w:hAnsiTheme="minorBidi"/>
          <w:sz w:val="24"/>
          <w:szCs w:val="24"/>
        </w:rPr>
      </w:pPr>
    </w:p>
    <w:p w:rsidR="00BD5AAB" w:rsidRDefault="00BD5AAB" w:rsidP="00BD5AAB">
      <w:pPr>
        <w:spacing w:after="0" w:line="240" w:lineRule="auto"/>
        <w:jc w:val="both"/>
        <w:rPr>
          <w:rFonts w:asciiTheme="minorBidi" w:eastAsia="Times New Roman" w:hAnsiTheme="minorBidi"/>
          <w:sz w:val="24"/>
          <w:szCs w:val="24"/>
          <w:rtl/>
        </w:rPr>
      </w:pPr>
      <w:r w:rsidRPr="00BD5AAB">
        <w:rPr>
          <w:rFonts w:asciiTheme="minorBidi" w:eastAsia="Times New Roman" w:hAnsiTheme="minorBidi"/>
          <w:sz w:val="24"/>
          <w:szCs w:val="24"/>
          <w:rtl/>
        </w:rPr>
        <w:t>למרות הצידוק האידיאולוגי שהצלחנו להלביש על חטאו של המקושש, ברור לחלוטין שהוא לא חטא בשוגג. בפסוק שלפני פרשת המקושש, התורה מדגישה שמי שיעשה ביד רמה - מגדף את ה', ויש כאן יותר מרמז לחטאו של המקושש. כשם שהמקלל (בפרשת בהר) חטא במזיד - כך גם המקושש שבפרשתנו, וכשם שפרשת מקלל שם ה' נסמכה שם לציווי על השבת - כך גם פרשת מקושש העצים ביום השבת נסמכה בפרשתנו לקללת ה'. כשם שהמקלל מוזכר בפרשת בהר, העוסקת בקדושת הארץ והאדם - כך אף חטאו של המקושש יונק ביסודו מאותו השורש: מההכרה בקשר שבין קדושת האדם, הארץ והשבת</w:t>
      </w:r>
      <w:r w:rsidRPr="00BD5AAB">
        <w:rPr>
          <w:rFonts w:asciiTheme="minorBidi" w:eastAsia="Times New Roman" w:hAnsiTheme="minorBidi"/>
          <w:sz w:val="24"/>
          <w:szCs w:val="24"/>
        </w:rPr>
        <w:t>.</w:t>
      </w:r>
    </w:p>
    <w:p w:rsidR="00FD3E98" w:rsidRPr="00BD5AAB" w:rsidRDefault="00FD3E98" w:rsidP="00FD3E98">
      <w:pPr>
        <w:spacing w:after="0" w:line="240" w:lineRule="auto"/>
        <w:jc w:val="both"/>
        <w:rPr>
          <w:rFonts w:asciiTheme="minorBidi" w:eastAsia="Times New Roman" w:hAnsiTheme="minorBidi"/>
          <w:sz w:val="24"/>
          <w:szCs w:val="24"/>
        </w:rPr>
      </w:pPr>
    </w:p>
    <w:p w:rsidR="00FD3E98" w:rsidRPr="00BD5AAB" w:rsidRDefault="007B74BA" w:rsidP="00BD5AAB">
      <w:pPr>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pict>
          <v:rect id="_x0000_i1025" style="width:137.05pt;height:.75pt" o:hrpct="330" o:hralign="right" o:hrstd="t" o:hr="t" fillcolor="#a0a0a0" stroked="f"/>
        </w:pict>
      </w:r>
    </w:p>
    <w:p w:rsidR="00BD5AAB" w:rsidRPr="00BD5AAB" w:rsidRDefault="00BD5AAB" w:rsidP="00BD5AAB">
      <w:pPr>
        <w:spacing w:after="0" w:line="240" w:lineRule="auto"/>
        <w:jc w:val="both"/>
        <w:rPr>
          <w:rFonts w:asciiTheme="minorBidi" w:eastAsia="Times New Roman" w:hAnsiTheme="minorBidi"/>
          <w:sz w:val="24"/>
          <w:szCs w:val="24"/>
        </w:rPr>
      </w:pPr>
    </w:p>
    <w:bookmarkStart w:id="12" w:name="_ftn1"/>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"_ftnref1"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w:t>
      </w:r>
      <w:r w:rsidRPr="00BD5AAB">
        <w:rPr>
          <w:rFonts w:asciiTheme="minorBidi" w:eastAsia="Times New Roman" w:hAnsiTheme="minorBidi"/>
          <w:sz w:val="24"/>
          <w:szCs w:val="24"/>
        </w:rPr>
        <w:fldChar w:fldCharType="end"/>
      </w:r>
      <w:bookmarkEnd w:id="12"/>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 xml:space="preserve">כמו כן, התורה משתמשת בשתי הפרשיות בשורש "זנות": "ובניכם יהיו רועים במדבר ארבעים שנה ונשאו את </w:t>
      </w:r>
      <w:r w:rsidRPr="00BD5AAB">
        <w:rPr>
          <w:rFonts w:asciiTheme="minorBidi" w:eastAsia="Times New Roman" w:hAnsiTheme="minorBidi"/>
          <w:b/>
          <w:bCs/>
          <w:sz w:val="24"/>
          <w:szCs w:val="24"/>
          <w:rtl/>
        </w:rPr>
        <w:t>זנותיכם</w:t>
      </w:r>
      <w:r w:rsidRPr="00BD5AAB">
        <w:rPr>
          <w:rFonts w:asciiTheme="minorBidi" w:eastAsia="Times New Roman" w:hAnsiTheme="minorBidi"/>
          <w:sz w:val="24"/>
          <w:szCs w:val="24"/>
        </w:rPr>
        <w:t>" - "</w:t>
      </w:r>
      <w:r w:rsidRPr="00BD5AAB">
        <w:rPr>
          <w:rFonts w:asciiTheme="minorBidi" w:eastAsia="Times New Roman" w:hAnsiTheme="minorBidi"/>
          <w:sz w:val="24"/>
          <w:szCs w:val="24"/>
          <w:rtl/>
        </w:rPr>
        <w:t xml:space="preserve">ולא תתורו אחרי עיניכם אשר אתם </w:t>
      </w:r>
      <w:r w:rsidRPr="00BD5AAB">
        <w:rPr>
          <w:rFonts w:asciiTheme="minorBidi" w:eastAsia="Times New Roman" w:hAnsiTheme="minorBidi"/>
          <w:b/>
          <w:bCs/>
          <w:sz w:val="24"/>
          <w:szCs w:val="24"/>
          <w:rtl/>
        </w:rPr>
        <w:t xml:space="preserve">זונים </w:t>
      </w:r>
      <w:r w:rsidRPr="00BD5AAB">
        <w:rPr>
          <w:rFonts w:asciiTheme="minorBidi" w:eastAsia="Times New Roman" w:hAnsiTheme="minorBidi"/>
          <w:sz w:val="24"/>
          <w:szCs w:val="24"/>
          <w:rtl/>
        </w:rPr>
        <w:t>אחריהם</w:t>
      </w:r>
      <w:r w:rsidRPr="00BD5AAB">
        <w:rPr>
          <w:rFonts w:asciiTheme="minorBidi" w:eastAsia="Times New Roman" w:hAnsiTheme="minorBidi"/>
          <w:sz w:val="24"/>
          <w:szCs w:val="24"/>
        </w:rPr>
        <w:t>".</w:t>
      </w:r>
    </w:p>
    <w:bookmarkStart w:id="13" w:name="_ftn2"/>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"_ftnref2"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[2]</w:t>
      </w:r>
      <w:r w:rsidRPr="00BD5AAB">
        <w:rPr>
          <w:rFonts w:asciiTheme="minorBidi" w:eastAsia="Times New Roman" w:hAnsiTheme="minorBidi"/>
          <w:sz w:val="24"/>
          <w:szCs w:val="24"/>
        </w:rPr>
        <w:fldChar w:fldCharType="end"/>
      </w:r>
      <w:bookmarkEnd w:id="13"/>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אמנם מקובלים אנו ש"זאת התורה לא תהיה מוחלפת", אך קודם לחתימת התורה מצאנו כמה הלכות שהשתנו במהלך תקופת המדבר. שתי דוגמאות בולטות לעיקרון זה הן דין בשר תאווה, שלא הותר במדבר והותר רק עם הכניסה לארץ, וכן בשר נבילה, שהותר לאוכלו במדבר אך הוא נאסר עם הכניסה לארץ</w:t>
      </w:r>
      <w:r w:rsidRPr="00BD5AAB">
        <w:rPr>
          <w:rFonts w:asciiTheme="minorBidi" w:eastAsia="Times New Roman" w:hAnsiTheme="minorBidi"/>
          <w:sz w:val="24"/>
          <w:szCs w:val="24"/>
        </w:rPr>
        <w:t>.</w:t>
      </w:r>
    </w:p>
    <w:bookmarkStart w:id="14" w:name="_ftn3"/>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"_ftnref3"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[3]</w:t>
      </w:r>
      <w:r w:rsidRPr="00BD5AAB">
        <w:rPr>
          <w:rFonts w:asciiTheme="minorBidi" w:eastAsia="Times New Roman" w:hAnsiTheme="minorBidi"/>
          <w:sz w:val="24"/>
          <w:szCs w:val="24"/>
        </w:rPr>
        <w:fldChar w:fldCharType="end"/>
      </w:r>
      <w:bookmarkEnd w:id="14"/>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אמנם, ניתן לומר שקרבן היחיד הוזכר כאן בשל השינוי המתואר בשגגת הציבור, ואולי כדי לציין שקרבן החטאת שלו מעכשיו הוא עז ולא כבשה</w:t>
      </w:r>
      <w:r w:rsidRPr="00BD5AAB">
        <w:rPr>
          <w:rFonts w:asciiTheme="minorBidi" w:eastAsia="Times New Roman" w:hAnsiTheme="minorBidi"/>
          <w:sz w:val="24"/>
          <w:szCs w:val="24"/>
        </w:rPr>
        <w:t>.</w:t>
      </w:r>
    </w:p>
    <w:bookmarkStart w:id="15" w:name="_ftn4"/>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"_ftnref4"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[4]</w:t>
      </w:r>
      <w:r w:rsidRPr="00BD5AAB">
        <w:rPr>
          <w:rFonts w:asciiTheme="minorBidi" w:eastAsia="Times New Roman" w:hAnsiTheme="minorBidi"/>
          <w:sz w:val="24"/>
          <w:szCs w:val="24"/>
        </w:rPr>
        <w:fldChar w:fldCharType="end"/>
      </w:r>
      <w:bookmarkEnd w:id="15"/>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כך ביארו חז"ל, ועיין ברמב"ן</w:t>
      </w:r>
      <w:r w:rsidRPr="00BD5AAB">
        <w:rPr>
          <w:rFonts w:asciiTheme="minorBidi" w:eastAsia="Times New Roman" w:hAnsiTheme="minorBidi"/>
          <w:sz w:val="24"/>
          <w:szCs w:val="24"/>
        </w:rPr>
        <w:t>.</w:t>
      </w:r>
    </w:p>
    <w:bookmarkStart w:id="16" w:name="_ftn5"/>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"_ftnref5"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[5]</w:t>
      </w:r>
      <w:r w:rsidRPr="00BD5AAB">
        <w:rPr>
          <w:rFonts w:asciiTheme="minorBidi" w:eastAsia="Times New Roman" w:hAnsiTheme="minorBidi"/>
          <w:sz w:val="24"/>
          <w:szCs w:val="24"/>
        </w:rPr>
        <w:fldChar w:fldCharType="end"/>
      </w:r>
      <w:bookmarkEnd w:id="16"/>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דברי הרמב"ן בעניין "הציבי לך ציונים" הם מפורסמים, ולכן לא נאריך בהם. יש להוסיף, שהתפיסה האלילית סברה שלכל אל יש את "אזור המחיה" שלו ואין לו כח מחוץ לאזור זה. תפיסה זו מבוססת על בסיס נכון, שיש מקום מיוחד שבו הקב"ה מתגלה, והטעות היא בחוסר ההבנה ששלטונו של הקב"ה מתפרש על כל העולם</w:t>
      </w:r>
      <w:r w:rsidRPr="00BD5AAB">
        <w:rPr>
          <w:rFonts w:asciiTheme="minorBidi" w:eastAsia="Times New Roman" w:hAnsiTheme="minorBidi"/>
          <w:sz w:val="24"/>
          <w:szCs w:val="24"/>
        </w:rPr>
        <w:t>.</w:t>
      </w:r>
    </w:p>
    <w:bookmarkStart w:id="17" w:name="_ftn6"/>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"_ftnref6"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[6]</w:t>
      </w:r>
      <w:r w:rsidRPr="00BD5AAB">
        <w:rPr>
          <w:rFonts w:asciiTheme="minorBidi" w:eastAsia="Times New Roman" w:hAnsiTheme="minorBidi"/>
          <w:sz w:val="24"/>
          <w:szCs w:val="24"/>
        </w:rPr>
        <w:fldChar w:fldCharType="end"/>
      </w:r>
      <w:bookmarkEnd w:id="17"/>
      <w:r w:rsidR="004C02E5">
        <w:rPr>
          <w:rFonts w:asciiTheme="minorBidi" w:eastAsia="Times New Roman" w:hAnsiTheme="minorBidi" w:hint="cs"/>
          <w:b/>
          <w:bCs/>
          <w:sz w:val="24"/>
          <w:szCs w:val="24"/>
          <w:rtl/>
        </w:rPr>
        <w:t xml:space="preserve"> </w:t>
      </w:r>
      <w:r w:rsidRPr="00BD5AAB">
        <w:rPr>
          <w:rFonts w:asciiTheme="minorBidi" w:eastAsia="Times New Roman" w:hAnsiTheme="minorBidi"/>
          <w:b/>
          <w:bCs/>
          <w:sz w:val="24"/>
          <w:szCs w:val="24"/>
          <w:rtl/>
        </w:rPr>
        <w:t>א</w:t>
      </w:r>
      <w:r w:rsidR="004C02E5">
        <w:rPr>
          <w:rFonts w:asciiTheme="minorBidi" w:eastAsia="Times New Roman" w:hAnsiTheme="minorBidi" w:hint="cs"/>
          <w:b/>
          <w:bCs/>
          <w:sz w:val="24"/>
          <w:szCs w:val="24"/>
          <w:rtl/>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הפתיחה "ויאמר ה' אל משה לאמר" מופיעה מספר פעמים בודדות בתורה, ובכל מקום שהיא מופיעה - היא מצביעה על סמיכות עניינים לפרשה שלפניה. כך, לדוגמא, בפרשת בנות צלפחד, כאשר משה אומר להן שהוא ישאל את ה' - מייד אחר כך מופיעה הפתיחה הזו. לפיכך, ייתכן שפתיחה זו לפרשת הציצית מצביעה על הקשר בינה לבין פרשת המקושש</w:t>
      </w:r>
      <w:r w:rsidRPr="00BD5AAB">
        <w:rPr>
          <w:rFonts w:asciiTheme="minorBidi" w:eastAsia="Times New Roman" w:hAnsiTheme="minorBidi"/>
          <w:sz w:val="24"/>
          <w:szCs w:val="24"/>
        </w:rPr>
        <w:t>.</w:t>
      </w:r>
    </w:p>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b/>
          <w:bCs/>
          <w:sz w:val="24"/>
          <w:szCs w:val="24"/>
          <w:rtl/>
        </w:rPr>
        <w:t>ב</w:t>
      </w:r>
      <w:r w:rsidRPr="00BD5AAB">
        <w:rPr>
          <w:rFonts w:asciiTheme="minorBidi" w:eastAsia="Times New Roman" w:hAnsiTheme="minorBidi"/>
          <w:b/>
          <w:bCs/>
          <w:sz w:val="24"/>
          <w:szCs w:val="24"/>
        </w:rPr>
        <w:t>.</w:t>
      </w:r>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במקביל לקשר שבין הציצית לשבת, הציצית קשורה גם למשכן (המילה "ציצית" מזכירה את הציץ, ובשניהם יש פתיל תכלת). המשכן, השבת והציצית מהווים שלישייה של קדושה (שהרי הקשר שבין השבת לבין המשכן הוא ברור), המקבילה לשלישיית הקדושות שבעולם: קדושת הזמן, קדושת המקום וקדושת האדם</w:t>
      </w:r>
      <w:r w:rsidRPr="00BD5AAB">
        <w:rPr>
          <w:rFonts w:asciiTheme="minorBidi" w:eastAsia="Times New Roman" w:hAnsiTheme="minorBidi"/>
          <w:sz w:val="24"/>
          <w:szCs w:val="24"/>
        </w:rPr>
        <w:t>.</w:t>
      </w:r>
    </w:p>
    <w:bookmarkStart w:id="18" w:name="_ftn7"/>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"_ftnref7"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[7]</w:t>
      </w:r>
      <w:r w:rsidRPr="00BD5AAB">
        <w:rPr>
          <w:rFonts w:asciiTheme="minorBidi" w:eastAsia="Times New Roman" w:hAnsiTheme="minorBidi"/>
          <w:sz w:val="24"/>
          <w:szCs w:val="24"/>
        </w:rPr>
        <w:fldChar w:fldCharType="end"/>
      </w:r>
      <w:bookmarkEnd w:id="18"/>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ההלכה למדה את דיני הקדימויות בברכות מהקרבה למילה "ארץ". מפרשתנו ניתן ללמוד שהמינים הקרובים ל"ארץ" השנייה חשובים יותר מהמינים הקרובים ל"ארץ" הראשונה, שהרי רק השמן מתפקד כקרבן ממש, ואילו היין משמש רק לנסכים</w:t>
      </w:r>
      <w:r w:rsidRPr="00BD5AAB">
        <w:rPr>
          <w:rFonts w:asciiTheme="minorBidi" w:eastAsia="Times New Roman" w:hAnsiTheme="minorBidi"/>
          <w:sz w:val="24"/>
          <w:szCs w:val="24"/>
        </w:rPr>
        <w:t>.</w:t>
      </w:r>
    </w:p>
    <w:bookmarkStart w:id="19" w:name="_ftn8"/>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"_ftnref8"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[8]</w:t>
      </w:r>
      <w:r w:rsidRPr="00BD5AAB">
        <w:rPr>
          <w:rFonts w:asciiTheme="minorBidi" w:eastAsia="Times New Roman" w:hAnsiTheme="minorBidi"/>
          <w:sz w:val="24"/>
          <w:szCs w:val="24"/>
        </w:rPr>
        <w:fldChar w:fldCharType="end"/>
      </w:r>
      <w:bookmarkEnd w:id="19"/>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שעורים מתפקדים כקרבן חוטא (כמו בקרבן סוטה), ולכן הם אינם מובאים לנסכים כלל</w:t>
      </w:r>
      <w:r w:rsidRPr="00BD5AAB">
        <w:rPr>
          <w:rFonts w:asciiTheme="minorBidi" w:eastAsia="Times New Roman" w:hAnsiTheme="minorBidi"/>
          <w:sz w:val="24"/>
          <w:szCs w:val="24"/>
        </w:rPr>
        <w:t>.</w:t>
      </w:r>
    </w:p>
    <w:bookmarkStart w:id="20" w:name="_ftn9"/>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"_ftnref9"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[9]</w:t>
      </w:r>
      <w:r w:rsidRPr="00BD5AAB">
        <w:rPr>
          <w:rFonts w:asciiTheme="minorBidi" w:eastAsia="Times New Roman" w:hAnsiTheme="minorBidi"/>
          <w:sz w:val="24"/>
          <w:szCs w:val="24"/>
        </w:rPr>
        <w:fldChar w:fldCharType="end"/>
      </w:r>
      <w:bookmarkEnd w:id="20"/>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אף בעוף אין דיני נסכים, משום שכפי שהזכרנו כבר בעבר (ובפרשת נח), העוף הינו מדרגת ביניים בין הים והיבשה, ולכך אינו קשור בטבורו לארץ ישראל</w:t>
      </w:r>
      <w:r w:rsidRPr="00BD5AAB">
        <w:rPr>
          <w:rFonts w:asciiTheme="minorBidi" w:eastAsia="Times New Roman" w:hAnsiTheme="minorBidi"/>
          <w:sz w:val="24"/>
          <w:szCs w:val="24"/>
        </w:rPr>
        <w:t>.</w:t>
      </w:r>
    </w:p>
    <w:bookmarkStart w:id="21" w:name="_ftn10"/>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"_ftnref10"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[10]</w:t>
      </w:r>
      <w:r w:rsidRPr="00BD5AAB">
        <w:rPr>
          <w:rFonts w:asciiTheme="minorBidi" w:eastAsia="Times New Roman" w:hAnsiTheme="minorBidi"/>
          <w:sz w:val="24"/>
          <w:szCs w:val="24"/>
        </w:rPr>
        <w:fldChar w:fldCharType="end"/>
      </w:r>
      <w:bookmarkEnd w:id="21"/>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בדומה לכך, האזרח והגר מודגש בקרבן הפסח, שכן ניתן היה לחשוב שהגר פטור מקרבן הבא כהודאה על היציאה ממצרים, שהוא לא היו שותף לה. אף במקומות אחרים יש לומר כך ואכמ"ל</w:t>
      </w:r>
      <w:r w:rsidRPr="00BD5AAB">
        <w:rPr>
          <w:rFonts w:asciiTheme="minorBidi" w:eastAsia="Times New Roman" w:hAnsiTheme="minorBidi"/>
          <w:sz w:val="24"/>
          <w:szCs w:val="24"/>
        </w:rPr>
        <w:t>.</w:t>
      </w:r>
    </w:p>
    <w:p w:rsidR="00BD5AAB" w:rsidRPr="00BD5AAB" w:rsidRDefault="00BD5AAB" w:rsidP="00105D4E">
      <w:pPr>
        <w:spacing w:after="0" w:line="240" w:lineRule="auto"/>
        <w:jc w:val="both"/>
        <w:rPr>
          <w:rFonts w:asciiTheme="minorBidi" w:eastAsia="Times New Roman" w:hAnsiTheme="minorBidi"/>
          <w:sz w:val="24"/>
          <w:szCs w:val="24"/>
        </w:rPr>
      </w:pPr>
      <w:bookmarkStart w:id="22" w:name="_ftn11"/>
      <w:r w:rsidRPr="00BD5AAB">
        <w:rPr>
          <w:rFonts w:asciiTheme="minorBidi" w:eastAsia="Times New Roman" w:hAnsiTheme="minorBidi"/>
          <w:color w:val="0000FF"/>
          <w:sz w:val="24"/>
          <w:szCs w:val="24"/>
          <w:u w:val="single"/>
        </w:rPr>
        <w:t>[11]</w:t>
      </w:r>
      <w:bookmarkStart w:id="23" w:name="_GoBack"/>
      <w:bookmarkEnd w:id="22"/>
      <w:bookmarkEnd w:id="23"/>
      <w:r w:rsidR="00105D4E">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בחז"ל, הויכוח אם מעשי האדם נאים או מעשי הקב"ה, מתבטא בהשוואה בין הלחם לבין החיטה. אף בתורה עניין זה בולט, בהבדל שבין העומר לבין שתי הלחם</w:t>
      </w:r>
      <w:r w:rsidRPr="00BD5AAB">
        <w:rPr>
          <w:rFonts w:asciiTheme="minorBidi" w:eastAsia="Times New Roman" w:hAnsiTheme="minorBidi"/>
          <w:sz w:val="24"/>
          <w:szCs w:val="24"/>
        </w:rPr>
        <w:t>.</w:t>
      </w:r>
    </w:p>
    <w:bookmarkStart w:id="24" w:name="_ftn12"/>
    <w:p w:rsidR="00BD5AAB" w:rsidRPr="00BD5AAB" w:rsidRDefault="00BD5AAB" w:rsidP="004C02E5">
      <w:pPr>
        <w:spacing w:after="0" w:line="240" w:lineRule="auto"/>
        <w:jc w:val="both"/>
        <w:rPr>
          <w:rFonts w:asciiTheme="minorBidi" w:eastAsia="Times New Roman" w:hAnsiTheme="minorBidi"/>
          <w:sz w:val="24"/>
          <w:szCs w:val="24"/>
        </w:rPr>
      </w:pPr>
      <w:r w:rsidRPr="00BD5AAB">
        <w:rPr>
          <w:rFonts w:asciiTheme="minorBidi" w:eastAsia="Times New Roman" w:hAnsiTheme="minorBidi"/>
          <w:sz w:val="24"/>
          <w:szCs w:val="24"/>
        </w:rPr>
        <w:fldChar w:fldCharType="begin"/>
      </w:r>
      <w:r w:rsidRPr="00BD5AAB">
        <w:rPr>
          <w:rFonts w:asciiTheme="minorBidi" w:eastAsia="Times New Roman" w:hAnsiTheme="minorBidi"/>
          <w:sz w:val="24"/>
          <w:szCs w:val="24"/>
        </w:rPr>
        <w:instrText xml:space="preserve"> HYPERLINK "" \l "_ftnref12" </w:instrText>
      </w:r>
      <w:r w:rsidRPr="00BD5AAB">
        <w:rPr>
          <w:rFonts w:asciiTheme="minorBidi" w:eastAsia="Times New Roman" w:hAnsiTheme="minorBidi"/>
          <w:sz w:val="24"/>
          <w:szCs w:val="24"/>
        </w:rPr>
        <w:fldChar w:fldCharType="separate"/>
      </w:r>
      <w:r w:rsidRPr="00BD5AAB">
        <w:rPr>
          <w:rFonts w:asciiTheme="minorBidi" w:eastAsia="Times New Roman" w:hAnsiTheme="minorBidi"/>
          <w:color w:val="0000FF"/>
          <w:sz w:val="24"/>
          <w:szCs w:val="24"/>
          <w:u w:val="single"/>
        </w:rPr>
        <w:t>[12]</w:t>
      </w:r>
      <w:r w:rsidRPr="00BD5AAB">
        <w:rPr>
          <w:rFonts w:asciiTheme="minorBidi" w:eastAsia="Times New Roman" w:hAnsiTheme="minorBidi"/>
          <w:sz w:val="24"/>
          <w:szCs w:val="24"/>
        </w:rPr>
        <w:fldChar w:fldCharType="end"/>
      </w:r>
      <w:bookmarkEnd w:id="24"/>
      <w:r w:rsidR="004C02E5">
        <w:rPr>
          <w:rFonts w:asciiTheme="minorBidi" w:eastAsia="Times New Roman" w:hAnsiTheme="minorBidi" w:hint="cs"/>
          <w:sz w:val="24"/>
          <w:szCs w:val="24"/>
          <w:rtl/>
        </w:rPr>
        <w:t xml:space="preserve"> </w:t>
      </w:r>
      <w:r w:rsidRPr="00BD5AAB">
        <w:rPr>
          <w:rFonts w:asciiTheme="minorBidi" w:eastAsia="Times New Roman" w:hAnsiTheme="minorBidi"/>
          <w:sz w:val="24"/>
          <w:szCs w:val="24"/>
          <w:rtl/>
        </w:rPr>
        <w:t>זו אחת הסיבות בשלה חז"ל קישרו את ביקורת קרח על משה לפרשת הציצית</w:t>
      </w:r>
    </w:p>
    <w:p w:rsidR="00D93767" w:rsidRPr="00BD5AAB" w:rsidRDefault="00D93767" w:rsidP="00BD5AAB">
      <w:pPr>
        <w:spacing w:after="0" w:line="240" w:lineRule="auto"/>
        <w:jc w:val="both"/>
        <w:rPr>
          <w:rFonts w:asciiTheme="minorBidi" w:hAnsiTheme="minorBidi"/>
        </w:rPr>
      </w:pPr>
    </w:p>
    <w:sectPr w:rsidR="00D93767" w:rsidRPr="00BD5AAB" w:rsidSect="00850538">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BA" w:rsidRDefault="007B74BA" w:rsidP="00FD3E98">
      <w:pPr>
        <w:spacing w:after="0" w:line="240" w:lineRule="auto"/>
      </w:pPr>
      <w:r>
        <w:separator/>
      </w:r>
    </w:p>
  </w:endnote>
  <w:endnote w:type="continuationSeparator" w:id="0">
    <w:p w:rsidR="007B74BA" w:rsidRDefault="007B74BA" w:rsidP="00FD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43646048"/>
      <w:docPartObj>
        <w:docPartGallery w:val="Page Numbers (Bottom of Page)"/>
        <w:docPartUnique/>
      </w:docPartObj>
    </w:sdtPr>
    <w:sdtEndPr>
      <w:rPr>
        <w:cs/>
      </w:rPr>
    </w:sdtEndPr>
    <w:sdtContent>
      <w:p w:rsidR="00FD3E98" w:rsidRDefault="00FD3E98">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7B74BA" w:rsidRPr="007B74BA">
          <w:rPr>
            <w:noProof/>
            <w:rtl/>
            <w:lang w:val="he-IL"/>
          </w:rPr>
          <w:t>1</w:t>
        </w:r>
        <w:r>
          <w:fldChar w:fldCharType="end"/>
        </w:r>
      </w:p>
    </w:sdtContent>
  </w:sdt>
  <w:p w:rsidR="00FD3E98" w:rsidRDefault="00FD3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BA" w:rsidRDefault="007B74BA" w:rsidP="00FD3E98">
      <w:pPr>
        <w:spacing w:after="0" w:line="240" w:lineRule="auto"/>
      </w:pPr>
      <w:r>
        <w:separator/>
      </w:r>
    </w:p>
  </w:footnote>
  <w:footnote w:type="continuationSeparator" w:id="0">
    <w:p w:rsidR="007B74BA" w:rsidRDefault="007B74BA" w:rsidP="00FD3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AB"/>
    <w:rsid w:val="00105D4E"/>
    <w:rsid w:val="00235215"/>
    <w:rsid w:val="004C02E5"/>
    <w:rsid w:val="007B74BA"/>
    <w:rsid w:val="00850538"/>
    <w:rsid w:val="00BD5AAB"/>
    <w:rsid w:val="00D93767"/>
    <w:rsid w:val="00FD3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E394"/>
  <w15:chartTrackingRefBased/>
  <w15:docId w15:val="{D2BBFD2C-AAB4-4039-8341-D076A2DC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BD5A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רגיל1"/>
    <w:basedOn w:val="a"/>
    <w:rsid w:val="00BD5A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BD5AA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D5AAB"/>
    <w:rPr>
      <w:color w:val="0000FF"/>
      <w:u w:val="single"/>
    </w:rPr>
  </w:style>
  <w:style w:type="paragraph" w:customStyle="1" w:styleId="10">
    <w:name w:val="ציטוט1"/>
    <w:basedOn w:val="a"/>
    <w:rsid w:val="00BD5A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
    <w:name w:val="centre"/>
    <w:basedOn w:val="a"/>
    <w:rsid w:val="00BD5A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a"/>
    <w:rsid w:val="00BD5A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D3E98"/>
    <w:pPr>
      <w:tabs>
        <w:tab w:val="center" w:pos="4153"/>
        <w:tab w:val="right" w:pos="8306"/>
      </w:tabs>
      <w:spacing w:after="0" w:line="240" w:lineRule="auto"/>
    </w:pPr>
  </w:style>
  <w:style w:type="character" w:customStyle="1" w:styleId="a4">
    <w:name w:val="כותרת עליונה תו"/>
    <w:basedOn w:val="a0"/>
    <w:link w:val="a3"/>
    <w:uiPriority w:val="99"/>
    <w:rsid w:val="00FD3E98"/>
  </w:style>
  <w:style w:type="paragraph" w:styleId="a5">
    <w:name w:val="footer"/>
    <w:basedOn w:val="a"/>
    <w:link w:val="a6"/>
    <w:uiPriority w:val="99"/>
    <w:unhideWhenUsed/>
    <w:rsid w:val="00FD3E98"/>
    <w:pPr>
      <w:tabs>
        <w:tab w:val="center" w:pos="4153"/>
        <w:tab w:val="right" w:pos="8306"/>
      </w:tabs>
      <w:spacing w:after="0" w:line="240" w:lineRule="auto"/>
    </w:pPr>
  </w:style>
  <w:style w:type="character" w:customStyle="1" w:styleId="a6">
    <w:name w:val="כותרת תחתונה תו"/>
    <w:basedOn w:val="a0"/>
    <w:link w:val="a5"/>
    <w:uiPriority w:val="99"/>
    <w:rsid w:val="00FD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6969">
      <w:bodyDiv w:val="1"/>
      <w:marLeft w:val="0"/>
      <w:marRight w:val="0"/>
      <w:marTop w:val="0"/>
      <w:marBottom w:val="0"/>
      <w:divBdr>
        <w:top w:val="none" w:sz="0" w:space="0" w:color="auto"/>
        <w:left w:val="none" w:sz="0" w:space="0" w:color="auto"/>
        <w:bottom w:val="none" w:sz="0" w:space="0" w:color="auto"/>
        <w:right w:val="none" w:sz="0" w:space="0" w:color="auto"/>
      </w:divBdr>
    </w:div>
    <w:div w:id="1685401402">
      <w:bodyDiv w:val="1"/>
      <w:marLeft w:val="0"/>
      <w:marRight w:val="0"/>
      <w:marTop w:val="0"/>
      <w:marBottom w:val="0"/>
      <w:divBdr>
        <w:top w:val="none" w:sz="0" w:space="0" w:color="auto"/>
        <w:left w:val="none" w:sz="0" w:space="0" w:color="auto"/>
        <w:bottom w:val="none" w:sz="0" w:space="0" w:color="auto"/>
        <w:right w:val="none" w:sz="0" w:space="0" w:color="auto"/>
      </w:divBdr>
      <w:divsChild>
        <w:div w:id="1699893416">
          <w:marLeft w:val="0"/>
          <w:marRight w:val="0"/>
          <w:marTop w:val="0"/>
          <w:marBottom w:val="0"/>
          <w:divBdr>
            <w:top w:val="none" w:sz="0" w:space="0" w:color="auto"/>
            <w:left w:val="none" w:sz="0" w:space="0" w:color="auto"/>
            <w:bottom w:val="none" w:sz="0" w:space="0" w:color="auto"/>
            <w:right w:val="none" w:sz="0" w:space="0" w:color="auto"/>
          </w:divBdr>
        </w:div>
        <w:div w:id="1517115932">
          <w:marLeft w:val="0"/>
          <w:marRight w:val="0"/>
          <w:marTop w:val="0"/>
          <w:marBottom w:val="0"/>
          <w:divBdr>
            <w:top w:val="none" w:sz="0" w:space="0" w:color="auto"/>
            <w:left w:val="none" w:sz="0" w:space="0" w:color="auto"/>
            <w:bottom w:val="none" w:sz="0" w:space="0" w:color="auto"/>
            <w:right w:val="none" w:sz="0" w:space="0" w:color="auto"/>
          </w:divBdr>
        </w:div>
        <w:div w:id="1992362688">
          <w:marLeft w:val="0"/>
          <w:marRight w:val="0"/>
          <w:marTop w:val="0"/>
          <w:marBottom w:val="0"/>
          <w:divBdr>
            <w:top w:val="none" w:sz="0" w:space="0" w:color="auto"/>
            <w:left w:val="none" w:sz="0" w:space="0" w:color="auto"/>
            <w:bottom w:val="none" w:sz="0" w:space="0" w:color="auto"/>
            <w:right w:val="none" w:sz="0" w:space="0" w:color="auto"/>
          </w:divBdr>
          <w:divsChild>
            <w:div w:id="241448686">
              <w:marLeft w:val="0"/>
              <w:marRight w:val="0"/>
              <w:marTop w:val="0"/>
              <w:marBottom w:val="0"/>
              <w:divBdr>
                <w:top w:val="none" w:sz="0" w:space="0" w:color="auto"/>
                <w:left w:val="none" w:sz="0" w:space="0" w:color="auto"/>
                <w:bottom w:val="none" w:sz="0" w:space="0" w:color="auto"/>
                <w:right w:val="none" w:sz="0" w:space="0" w:color="auto"/>
              </w:divBdr>
            </w:div>
            <w:div w:id="1520394799">
              <w:marLeft w:val="0"/>
              <w:marRight w:val="0"/>
              <w:marTop w:val="0"/>
              <w:marBottom w:val="0"/>
              <w:divBdr>
                <w:top w:val="none" w:sz="0" w:space="0" w:color="auto"/>
                <w:left w:val="none" w:sz="0" w:space="0" w:color="auto"/>
                <w:bottom w:val="none" w:sz="0" w:space="0" w:color="auto"/>
                <w:right w:val="none" w:sz="0" w:space="0" w:color="auto"/>
              </w:divBdr>
            </w:div>
            <w:div w:id="1341004260">
              <w:marLeft w:val="0"/>
              <w:marRight w:val="0"/>
              <w:marTop w:val="0"/>
              <w:marBottom w:val="0"/>
              <w:divBdr>
                <w:top w:val="none" w:sz="0" w:space="0" w:color="auto"/>
                <w:left w:val="none" w:sz="0" w:space="0" w:color="auto"/>
                <w:bottom w:val="none" w:sz="0" w:space="0" w:color="auto"/>
                <w:right w:val="none" w:sz="0" w:space="0" w:color="auto"/>
              </w:divBdr>
            </w:div>
            <w:div w:id="1433940038">
              <w:marLeft w:val="0"/>
              <w:marRight w:val="0"/>
              <w:marTop w:val="0"/>
              <w:marBottom w:val="0"/>
              <w:divBdr>
                <w:top w:val="none" w:sz="0" w:space="0" w:color="auto"/>
                <w:left w:val="none" w:sz="0" w:space="0" w:color="auto"/>
                <w:bottom w:val="none" w:sz="0" w:space="0" w:color="auto"/>
                <w:right w:val="none" w:sz="0" w:space="0" w:color="auto"/>
              </w:divBdr>
            </w:div>
            <w:div w:id="1931624495">
              <w:marLeft w:val="0"/>
              <w:marRight w:val="0"/>
              <w:marTop w:val="0"/>
              <w:marBottom w:val="0"/>
              <w:divBdr>
                <w:top w:val="none" w:sz="0" w:space="0" w:color="auto"/>
                <w:left w:val="none" w:sz="0" w:space="0" w:color="auto"/>
                <w:bottom w:val="none" w:sz="0" w:space="0" w:color="auto"/>
                <w:right w:val="none" w:sz="0" w:space="0" w:color="auto"/>
              </w:divBdr>
            </w:div>
            <w:div w:id="1496334036">
              <w:marLeft w:val="0"/>
              <w:marRight w:val="0"/>
              <w:marTop w:val="0"/>
              <w:marBottom w:val="0"/>
              <w:divBdr>
                <w:top w:val="none" w:sz="0" w:space="0" w:color="auto"/>
                <w:left w:val="none" w:sz="0" w:space="0" w:color="auto"/>
                <w:bottom w:val="none" w:sz="0" w:space="0" w:color="auto"/>
                <w:right w:val="none" w:sz="0" w:space="0" w:color="auto"/>
              </w:divBdr>
            </w:div>
            <w:div w:id="1737629556">
              <w:marLeft w:val="0"/>
              <w:marRight w:val="0"/>
              <w:marTop w:val="0"/>
              <w:marBottom w:val="0"/>
              <w:divBdr>
                <w:top w:val="none" w:sz="0" w:space="0" w:color="auto"/>
                <w:left w:val="none" w:sz="0" w:space="0" w:color="auto"/>
                <w:bottom w:val="none" w:sz="0" w:space="0" w:color="auto"/>
                <w:right w:val="none" w:sz="0" w:space="0" w:color="auto"/>
              </w:divBdr>
            </w:div>
            <w:div w:id="799493008">
              <w:marLeft w:val="0"/>
              <w:marRight w:val="0"/>
              <w:marTop w:val="0"/>
              <w:marBottom w:val="0"/>
              <w:divBdr>
                <w:top w:val="none" w:sz="0" w:space="0" w:color="auto"/>
                <w:left w:val="none" w:sz="0" w:space="0" w:color="auto"/>
                <w:bottom w:val="none" w:sz="0" w:space="0" w:color="auto"/>
                <w:right w:val="none" w:sz="0" w:space="0" w:color="auto"/>
              </w:divBdr>
            </w:div>
            <w:div w:id="1979795116">
              <w:marLeft w:val="0"/>
              <w:marRight w:val="0"/>
              <w:marTop w:val="0"/>
              <w:marBottom w:val="0"/>
              <w:divBdr>
                <w:top w:val="none" w:sz="0" w:space="0" w:color="auto"/>
                <w:left w:val="none" w:sz="0" w:space="0" w:color="auto"/>
                <w:bottom w:val="none" w:sz="0" w:space="0" w:color="auto"/>
                <w:right w:val="none" w:sz="0" w:space="0" w:color="auto"/>
              </w:divBdr>
            </w:div>
            <w:div w:id="1527251482">
              <w:marLeft w:val="0"/>
              <w:marRight w:val="0"/>
              <w:marTop w:val="0"/>
              <w:marBottom w:val="0"/>
              <w:divBdr>
                <w:top w:val="none" w:sz="0" w:space="0" w:color="auto"/>
                <w:left w:val="none" w:sz="0" w:space="0" w:color="auto"/>
                <w:bottom w:val="none" w:sz="0" w:space="0" w:color="auto"/>
                <w:right w:val="none" w:sz="0" w:space="0" w:color="auto"/>
              </w:divBdr>
            </w:div>
            <w:div w:id="555048931">
              <w:marLeft w:val="0"/>
              <w:marRight w:val="0"/>
              <w:marTop w:val="0"/>
              <w:marBottom w:val="0"/>
              <w:divBdr>
                <w:top w:val="none" w:sz="0" w:space="0" w:color="auto"/>
                <w:left w:val="none" w:sz="0" w:space="0" w:color="auto"/>
                <w:bottom w:val="none" w:sz="0" w:space="0" w:color="auto"/>
                <w:right w:val="none" w:sz="0" w:space="0" w:color="auto"/>
              </w:divBdr>
            </w:div>
            <w:div w:id="675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9244</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mocls</dc:creator>
  <cp:keywords/>
  <dc:description/>
  <cp:lastModifiedBy>User</cp:lastModifiedBy>
  <cp:revision>2</cp:revision>
  <dcterms:created xsi:type="dcterms:W3CDTF">2021-06-01T11:48:00Z</dcterms:created>
  <dcterms:modified xsi:type="dcterms:W3CDTF">2021-06-01T11:48:00Z</dcterms:modified>
</cp:coreProperties>
</file>