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635" w:rsidRDefault="00080635" w:rsidP="00080635">
      <w:pPr>
        <w:pStyle w:val="a3"/>
        <w:jc w:val="right"/>
        <w:rPr>
          <w:rtl/>
        </w:rPr>
      </w:pPr>
    </w:p>
    <w:p w:rsidR="00D66BA4" w:rsidRDefault="00D66BA4" w:rsidP="00920720">
      <w:pPr>
        <w:pStyle w:val="a3"/>
        <w:rPr>
          <w:rtl/>
        </w:rPr>
      </w:pPr>
      <w:r>
        <w:rPr>
          <w:rtl/>
        </w:rPr>
        <w:t xml:space="preserve">הרב אהרן ליכטנשטיין </w:t>
      </w:r>
      <w:r w:rsidR="00920720">
        <w:rPr>
          <w:rFonts w:hint="cs"/>
          <w:rtl/>
        </w:rPr>
        <w:t>זצ"ל</w:t>
      </w:r>
      <w:r w:rsidR="00933869">
        <w:rPr>
          <w:rStyle w:val="FootnoteReference"/>
          <w:rtl/>
        </w:rPr>
        <w:footnoteReference w:id="1"/>
      </w:r>
    </w:p>
    <w:p w:rsidR="00080635" w:rsidRPr="00F3152C" w:rsidRDefault="00F3152C" w:rsidP="00080635">
      <w:pPr>
        <w:pStyle w:val="a1"/>
        <w:rPr>
          <w:sz w:val="36"/>
          <w:szCs w:val="36"/>
          <w:rtl/>
        </w:rPr>
      </w:pPr>
      <w:r w:rsidRPr="00F3152C">
        <w:rPr>
          <w:sz w:val="36"/>
          <w:szCs w:val="36"/>
          <w:rtl/>
        </w:rPr>
        <w:t xml:space="preserve">גיטין </w:t>
      </w:r>
      <w:proofErr w:type="spellStart"/>
      <w:r w:rsidRPr="00F3152C">
        <w:rPr>
          <w:sz w:val="36"/>
          <w:szCs w:val="36"/>
          <w:rtl/>
        </w:rPr>
        <w:t>כז</w:t>
      </w:r>
      <w:proofErr w:type="spellEnd"/>
      <w:r w:rsidRPr="00F3152C">
        <w:rPr>
          <w:sz w:val="36"/>
          <w:szCs w:val="36"/>
          <w:rtl/>
        </w:rPr>
        <w:t>.-</w:t>
      </w:r>
      <w:proofErr w:type="spellStart"/>
      <w:r w:rsidRPr="00F3152C">
        <w:rPr>
          <w:sz w:val="36"/>
          <w:szCs w:val="36"/>
          <w:rtl/>
        </w:rPr>
        <w:t>כז</w:t>
      </w:r>
      <w:proofErr w:type="spellEnd"/>
      <w:r w:rsidRPr="00F3152C">
        <w:rPr>
          <w:sz w:val="36"/>
          <w:szCs w:val="36"/>
          <w:rtl/>
        </w:rPr>
        <w:t>:</w:t>
      </w:r>
      <w:r w:rsidRPr="00F3152C">
        <w:rPr>
          <w:sz w:val="36"/>
          <w:szCs w:val="36"/>
        </w:rPr>
        <w:t xml:space="preserve"> - </w:t>
      </w:r>
      <w:r w:rsidR="00080635" w:rsidRPr="00F3152C">
        <w:rPr>
          <w:sz w:val="36"/>
          <w:szCs w:val="36"/>
          <w:rtl/>
        </w:rPr>
        <w:t>בעניין סימנים</w:t>
      </w:r>
    </w:p>
    <w:p w:rsidR="00D66BA4" w:rsidRDefault="00080635" w:rsidP="00080635">
      <w:pPr>
        <w:pStyle w:val="2"/>
        <w:rPr>
          <w:rtl/>
        </w:rPr>
      </w:pPr>
      <w:r>
        <w:rPr>
          <w:rtl/>
        </w:rPr>
        <w:t>מקורות</w:t>
      </w:r>
    </w:p>
    <w:p w:rsidR="00D66BA4" w:rsidRDefault="00D66BA4" w:rsidP="00080635">
      <w:pPr>
        <w:rPr>
          <w:rtl/>
        </w:rPr>
      </w:pPr>
      <w:r>
        <w:rPr>
          <w:rtl/>
        </w:rPr>
        <w:t xml:space="preserve">1. בבא מציעא </w:t>
      </w:r>
      <w:proofErr w:type="spellStart"/>
      <w:r>
        <w:rPr>
          <w:rtl/>
        </w:rPr>
        <w:t>כז</w:t>
      </w:r>
      <w:proofErr w:type="spellEnd"/>
      <w:r>
        <w:rPr>
          <w:rtl/>
        </w:rPr>
        <w:t>.-</w:t>
      </w:r>
      <w:proofErr w:type="spellStart"/>
      <w:r>
        <w:rPr>
          <w:rtl/>
        </w:rPr>
        <w:t>כח</w:t>
      </w:r>
      <w:proofErr w:type="spellEnd"/>
      <w:r>
        <w:rPr>
          <w:rtl/>
        </w:rPr>
        <w:t>. "</w:t>
      </w:r>
      <w:proofErr w:type="spellStart"/>
      <w:r>
        <w:rPr>
          <w:rtl/>
        </w:rPr>
        <w:t>איבעיא</w:t>
      </w:r>
      <w:proofErr w:type="spellEnd"/>
      <w:r>
        <w:rPr>
          <w:rtl/>
        </w:rPr>
        <w:t xml:space="preserve"> להו... דליתיה דמי ויניח".</w:t>
      </w:r>
    </w:p>
    <w:p w:rsidR="00D66BA4" w:rsidRDefault="00D66BA4" w:rsidP="00933869">
      <w:pPr>
        <w:ind w:left="210" w:hanging="210"/>
        <w:rPr>
          <w:rtl/>
        </w:rPr>
      </w:pPr>
      <w:r>
        <w:rPr>
          <w:rtl/>
        </w:rPr>
        <w:t xml:space="preserve">2. גיטין </w:t>
      </w:r>
      <w:proofErr w:type="spellStart"/>
      <w:r>
        <w:rPr>
          <w:rtl/>
        </w:rPr>
        <w:t>כז</w:t>
      </w:r>
      <w:proofErr w:type="spellEnd"/>
      <w:r>
        <w:rPr>
          <w:rtl/>
        </w:rPr>
        <w:t xml:space="preserve">. "המביא גט... לזמן מרובה"; </w:t>
      </w:r>
      <w:proofErr w:type="spellStart"/>
      <w:r>
        <w:rPr>
          <w:rtl/>
        </w:rPr>
        <w:t>כז</w:t>
      </w:r>
      <w:proofErr w:type="spellEnd"/>
      <w:r>
        <w:rPr>
          <w:rtl/>
        </w:rPr>
        <w:t>: "רב אשי אמר... אי דרבנן".</w:t>
      </w:r>
    </w:p>
    <w:p w:rsidR="00D66BA4" w:rsidRDefault="00D66BA4" w:rsidP="00933869">
      <w:pPr>
        <w:ind w:left="210" w:hanging="210"/>
        <w:rPr>
          <w:rtl/>
        </w:rPr>
      </w:pPr>
      <w:r>
        <w:rPr>
          <w:rtl/>
        </w:rPr>
        <w:t>3.</w:t>
      </w:r>
      <w:r w:rsidR="00933869">
        <w:rPr>
          <w:rtl/>
        </w:rPr>
        <w:t> </w:t>
      </w:r>
      <w:r>
        <w:rPr>
          <w:rtl/>
        </w:rPr>
        <w:t xml:space="preserve">בבא מציעא </w:t>
      </w:r>
      <w:proofErr w:type="spellStart"/>
      <w:r>
        <w:rPr>
          <w:rtl/>
        </w:rPr>
        <w:t>כז</w:t>
      </w:r>
      <w:proofErr w:type="spellEnd"/>
      <w:r>
        <w:rPr>
          <w:rtl/>
        </w:rPr>
        <w:t xml:space="preserve">: </w:t>
      </w:r>
      <w:proofErr w:type="spellStart"/>
      <w:r>
        <w:rPr>
          <w:rtl/>
        </w:rPr>
        <w:t>ראב"ד</w:t>
      </w:r>
      <w:proofErr w:type="spellEnd"/>
      <w:r>
        <w:rPr>
          <w:rtl/>
        </w:rPr>
        <w:t xml:space="preserve"> (בשיטה מקובצת) ד"ה וז"ל </w:t>
      </w:r>
      <w:proofErr w:type="spellStart"/>
      <w:r>
        <w:rPr>
          <w:rtl/>
        </w:rPr>
        <w:t>הראב"ד</w:t>
      </w:r>
      <w:proofErr w:type="spellEnd"/>
      <w:r>
        <w:rPr>
          <w:rtl/>
        </w:rPr>
        <w:t>.</w:t>
      </w:r>
    </w:p>
    <w:p w:rsidR="00D66BA4" w:rsidRDefault="00D66BA4" w:rsidP="00080635">
      <w:pPr>
        <w:rPr>
          <w:rtl/>
        </w:rPr>
      </w:pPr>
      <w:r>
        <w:rPr>
          <w:rtl/>
        </w:rPr>
        <w:t xml:space="preserve">4. רמב"ם הלכות גירושין פ"ג </w:t>
      </w:r>
      <w:proofErr w:type="spellStart"/>
      <w:r>
        <w:rPr>
          <w:rtl/>
        </w:rPr>
        <w:t>הי"א</w:t>
      </w:r>
      <w:proofErr w:type="spellEnd"/>
      <w:r>
        <w:rPr>
          <w:rtl/>
        </w:rPr>
        <w:t>.</w:t>
      </w:r>
    </w:p>
    <w:p w:rsidR="00D66BA4" w:rsidRDefault="00D66BA4" w:rsidP="00080635">
      <w:pPr>
        <w:rPr>
          <w:rtl/>
        </w:rPr>
      </w:pPr>
      <w:r>
        <w:rPr>
          <w:rtl/>
        </w:rPr>
        <w:t xml:space="preserve">5. רמב"ם הלכות גזלה ואבדה </w:t>
      </w:r>
      <w:proofErr w:type="spellStart"/>
      <w:r>
        <w:rPr>
          <w:rtl/>
        </w:rPr>
        <w:t>פי"ג</w:t>
      </w:r>
      <w:proofErr w:type="spellEnd"/>
      <w:r>
        <w:rPr>
          <w:rtl/>
        </w:rPr>
        <w:t xml:space="preserve"> הלכות א-ה.</w:t>
      </w:r>
    </w:p>
    <w:p w:rsidR="00D66BA4" w:rsidRDefault="00080635" w:rsidP="00080635">
      <w:pPr>
        <w:pStyle w:val="2"/>
        <w:rPr>
          <w:rtl/>
        </w:rPr>
      </w:pPr>
      <w:r>
        <w:rPr>
          <w:rtl/>
        </w:rPr>
        <w:t>שאלות הכנה</w:t>
      </w:r>
    </w:p>
    <w:p w:rsidR="00D66BA4" w:rsidRDefault="00D66BA4" w:rsidP="00080635">
      <w:pPr>
        <w:rPr>
          <w:rtl/>
        </w:rPr>
      </w:pPr>
      <w:r>
        <w:rPr>
          <w:rtl/>
        </w:rPr>
        <w:t>1. מהם סימנים מובהקים?</w:t>
      </w:r>
    </w:p>
    <w:p w:rsidR="00D66BA4" w:rsidRDefault="00D66BA4" w:rsidP="00080635">
      <w:pPr>
        <w:rPr>
          <w:rtl/>
        </w:rPr>
      </w:pPr>
      <w:r>
        <w:rPr>
          <w:rtl/>
        </w:rPr>
        <w:t>2. לאיזה עניין סומכים על סימנים שאינם מובהקים?</w:t>
      </w:r>
    </w:p>
    <w:p w:rsidR="00D66BA4" w:rsidRDefault="00D66BA4" w:rsidP="00080635">
      <w:pPr>
        <w:ind w:left="210" w:hanging="210"/>
        <w:rPr>
          <w:rtl/>
        </w:rPr>
      </w:pPr>
      <w:r>
        <w:rPr>
          <w:rtl/>
        </w:rPr>
        <w:t>3. האם ייתכן שנסמוך על סימנים לדינים דאורייתא גם אם סימנים אינם דאורייתא?</w:t>
      </w:r>
    </w:p>
    <w:p w:rsidR="00933869" w:rsidRDefault="00D66BA4" w:rsidP="00080635">
      <w:pPr>
        <w:pStyle w:val="2"/>
        <w:rPr>
          <w:rtl/>
        </w:rPr>
      </w:pPr>
      <w:r>
        <w:rPr>
          <w:rtl/>
        </w:rPr>
        <w:t xml:space="preserve">1. </w:t>
      </w:r>
    </w:p>
    <w:p w:rsidR="00D66BA4" w:rsidRDefault="00D66BA4" w:rsidP="00933869">
      <w:pPr>
        <w:pStyle w:val="3"/>
        <w:rPr>
          <w:rtl/>
        </w:rPr>
      </w:pPr>
      <w:r>
        <w:rPr>
          <w:rtl/>
        </w:rPr>
        <w:t xml:space="preserve">השבת גט </w:t>
      </w:r>
      <w:r w:rsidR="00933869">
        <w:rPr>
          <w:rtl/>
        </w:rPr>
        <w:t>ב</w:t>
      </w:r>
      <w:r>
        <w:rPr>
          <w:rtl/>
        </w:rPr>
        <w:t>סימנים, והשימוש בסימנים באופן כללי</w:t>
      </w:r>
    </w:p>
    <w:p w:rsidR="00D66BA4" w:rsidRDefault="00D66BA4" w:rsidP="00080635">
      <w:pPr>
        <w:rPr>
          <w:rtl/>
        </w:rPr>
      </w:pPr>
      <w:r>
        <w:rPr>
          <w:rtl/>
        </w:rPr>
        <w:t xml:space="preserve">הסוגיה בדף </w:t>
      </w:r>
      <w:proofErr w:type="spellStart"/>
      <w:r>
        <w:rPr>
          <w:rtl/>
        </w:rPr>
        <w:t>כז</w:t>
      </w:r>
      <w:proofErr w:type="spellEnd"/>
      <w:r>
        <w:rPr>
          <w:rtl/>
        </w:rPr>
        <w:t>. עוסקת בגט שאבד, ומעלה כאחת הדרכים להשיב את הגט לבעליו את הדרך שמשמשת את כלל משיבי האבדה בעולם: סימנים. כפי שמשיבים אבדה על ידי סימנים, כך אפשר להשיב את הגט על פי סימנים.</w:t>
      </w:r>
    </w:p>
    <w:p w:rsidR="007C1577" w:rsidRDefault="00D66BA4" w:rsidP="007C1577">
      <w:pPr>
        <w:rPr>
          <w:rtl/>
        </w:rPr>
      </w:pPr>
      <w:r>
        <w:rPr>
          <w:rtl/>
        </w:rPr>
        <w:t xml:space="preserve">הרמב"ם בהלכות גזלה ואבדה אומר: </w:t>
      </w:r>
    </w:p>
    <w:p w:rsidR="007C1577" w:rsidRDefault="00D66BA4" w:rsidP="007C1577">
      <w:pPr>
        <w:pStyle w:val="a0"/>
        <w:rPr>
          <w:rtl/>
        </w:rPr>
      </w:pPr>
      <w:r>
        <w:rPr>
          <w:rtl/>
        </w:rPr>
        <w:t xml:space="preserve">"בראשונה כל מי שאבד לו אבדה ובא ונתן סימניה </w:t>
      </w:r>
      <w:proofErr w:type="spellStart"/>
      <w:r>
        <w:rPr>
          <w:rtl/>
        </w:rPr>
        <w:t>מחזירין</w:t>
      </w:r>
      <w:proofErr w:type="spellEnd"/>
      <w:r>
        <w:rPr>
          <w:rtl/>
        </w:rPr>
        <w:t xml:space="preserve"> אותה לו, אלא אם כן הוחזק רמאי"</w:t>
      </w:r>
      <w:r w:rsidR="007C1577">
        <w:rPr>
          <w:rtl/>
        </w:rPr>
        <w:tab/>
      </w:r>
      <w:r w:rsidR="007C1577">
        <w:rPr>
          <w:rtl/>
        </w:rPr>
        <w:br/>
      </w:r>
      <w:r w:rsidR="007C1577">
        <w:rPr>
          <w:rtl/>
        </w:rPr>
        <w:tab/>
        <w:t>(</w:t>
      </w:r>
      <w:proofErr w:type="spellStart"/>
      <w:r w:rsidR="007C1577">
        <w:rPr>
          <w:rtl/>
        </w:rPr>
        <w:t>פי"ג</w:t>
      </w:r>
      <w:proofErr w:type="spellEnd"/>
      <w:r w:rsidR="007C1577">
        <w:rPr>
          <w:rtl/>
        </w:rPr>
        <w:t xml:space="preserve"> </w:t>
      </w:r>
      <w:proofErr w:type="spellStart"/>
      <w:r w:rsidR="007C1577">
        <w:rPr>
          <w:rtl/>
        </w:rPr>
        <w:t>ה"ד</w:t>
      </w:r>
      <w:proofErr w:type="spellEnd"/>
      <w:r w:rsidR="007C1577">
        <w:rPr>
          <w:rtl/>
        </w:rPr>
        <w:t>)</w:t>
      </w:r>
    </w:p>
    <w:p w:rsidR="007C1577" w:rsidRDefault="007C1577" w:rsidP="00080635">
      <w:pPr>
        <w:rPr>
          <w:rtl/>
        </w:rPr>
      </w:pPr>
      <w:r>
        <w:rPr>
          <w:rtl/>
        </w:rPr>
        <w:t>זאת אומרת ש</w:t>
      </w:r>
      <w:r w:rsidR="00D66BA4">
        <w:rPr>
          <w:rtl/>
        </w:rPr>
        <w:t>ניתן להשי</w:t>
      </w:r>
      <w:r>
        <w:rPr>
          <w:rtl/>
        </w:rPr>
        <w:t xml:space="preserve">ב אבדה למי שיודע את סימניה. אם </w:t>
      </w:r>
      <w:r w:rsidR="00D66BA4">
        <w:rPr>
          <w:rtl/>
        </w:rPr>
        <w:t xml:space="preserve">כן, ניתן יהיה להשיב גט על פי סימנים שיש בו. וכך אומר רב אשי: </w:t>
      </w:r>
    </w:p>
    <w:p w:rsidR="00D66BA4" w:rsidRDefault="00D66BA4" w:rsidP="007C1577">
      <w:pPr>
        <w:pStyle w:val="a0"/>
        <w:rPr>
          <w:rtl/>
        </w:rPr>
      </w:pPr>
      <w:r>
        <w:rPr>
          <w:rtl/>
        </w:rPr>
        <w:t xml:space="preserve">"כגון </w:t>
      </w:r>
      <w:proofErr w:type="spellStart"/>
      <w:r>
        <w:rPr>
          <w:rtl/>
        </w:rPr>
        <w:t>דקאמר</w:t>
      </w:r>
      <w:proofErr w:type="spellEnd"/>
      <w:r>
        <w:rPr>
          <w:rtl/>
        </w:rPr>
        <w:t xml:space="preserve">: 'נקב יש בו בצד אות פלונית', דהוה ליה סימן מובהק. </w:t>
      </w:r>
      <w:proofErr w:type="spellStart"/>
      <w:r>
        <w:rPr>
          <w:rtl/>
        </w:rPr>
        <w:t>ודוקא</w:t>
      </w:r>
      <w:proofErr w:type="spellEnd"/>
      <w:r>
        <w:rPr>
          <w:rtl/>
        </w:rPr>
        <w:t xml:space="preserve"> בצד אות פלונית, דהוה ליה סימן מובהק, אבל נקב בעלמא לא - מספקא ליה </w:t>
      </w:r>
      <w:proofErr w:type="spellStart"/>
      <w:r>
        <w:rPr>
          <w:rtl/>
        </w:rPr>
        <w:t>סימנין</w:t>
      </w:r>
      <w:proofErr w:type="spellEnd"/>
      <w:r>
        <w:rPr>
          <w:rtl/>
        </w:rPr>
        <w:t xml:space="preserve"> אי דאורייתא אי דרבנן".</w:t>
      </w:r>
    </w:p>
    <w:p w:rsidR="00D66BA4" w:rsidRDefault="00D66BA4" w:rsidP="00080635">
      <w:pPr>
        <w:rPr>
          <w:rtl/>
        </w:rPr>
      </w:pPr>
      <w:r>
        <w:rPr>
          <w:rtl/>
        </w:rPr>
        <w:t>רב אשי מעלה את האפשרות להשיב גט על פי סימנים, אך הוא מוסיף הגבלה מסוימת: אפשר להשיב גט רק על פי סימנים מובהקים, משום שאפשר לסמוך עליהם מדאורייתא; בסימנים שאינם מובהקים הוא מסתפק אם תוקפם הוא מדאורייתא או מדרבנן, ולכן אין להשיב את הגט על פיהם.</w:t>
      </w:r>
    </w:p>
    <w:p w:rsidR="00D66BA4" w:rsidRDefault="00D66BA4" w:rsidP="00080635">
      <w:pPr>
        <w:rPr>
          <w:rtl/>
        </w:rPr>
      </w:pPr>
      <w:r>
        <w:rPr>
          <w:rtl/>
        </w:rPr>
        <w:lastRenderedPageBreak/>
        <w:t>על מנת להבין את הדיון הזה, צריכים אנו להקדים שבפרק השני של בבא מציעא, אלו מציאות, עוסקת הגמרא בדיני אבדות והשבתן. כאמור, אחת הטכניקות הרווחות בנושא זה היא השבה על ידי סימנים, והיא נידונה שם בהרחבה. ההנחה היא שיש שלושה סוגי סימנים:</w:t>
      </w:r>
    </w:p>
    <w:p w:rsidR="00D66BA4" w:rsidRDefault="00D66BA4" w:rsidP="007C1577">
      <w:pPr>
        <w:rPr>
          <w:rtl/>
        </w:rPr>
      </w:pPr>
      <w:r w:rsidRPr="00933869">
        <w:rPr>
          <w:b/>
          <w:bCs/>
          <w:rtl/>
        </w:rPr>
        <w:t>1.</w:t>
      </w:r>
      <w:r>
        <w:rPr>
          <w:rtl/>
        </w:rPr>
        <w:t xml:space="preserve"> סימנים גרועים - סימנים שאי אפשר לזהות חפץ על פיהם. הדוגמ</w:t>
      </w:r>
      <w:r w:rsidR="007C1577">
        <w:rPr>
          <w:rtl/>
        </w:rPr>
        <w:t>ה</w:t>
      </w:r>
      <w:r>
        <w:rPr>
          <w:rtl/>
        </w:rPr>
        <w:t xml:space="preserve"> הקלסית לכך היא "</w:t>
      </w:r>
      <w:proofErr w:type="spellStart"/>
      <w:r>
        <w:rPr>
          <w:rtl/>
        </w:rPr>
        <w:t>חיורי</w:t>
      </w:r>
      <w:proofErr w:type="spellEnd"/>
      <w:r>
        <w:rPr>
          <w:rtl/>
        </w:rPr>
        <w:t xml:space="preserve"> וסומקי" - כלים לבנים וכלים שחורים: אי אפשר לזהות אבדה רק על פי צבעה.</w:t>
      </w:r>
    </w:p>
    <w:p w:rsidR="00D66BA4" w:rsidRDefault="00D66BA4" w:rsidP="007C1577">
      <w:pPr>
        <w:rPr>
          <w:rtl/>
        </w:rPr>
      </w:pPr>
      <w:r w:rsidRPr="00933869">
        <w:rPr>
          <w:b/>
          <w:bCs/>
          <w:rtl/>
        </w:rPr>
        <w:t>2.</w:t>
      </w:r>
      <w:r>
        <w:rPr>
          <w:rtl/>
        </w:rPr>
        <w:t xml:space="preserve"> סימנים בינוניים, שהם הסימנים הנפוצים, ועל פיהם אפשר להשיב אבדה. הדוגמ</w:t>
      </w:r>
      <w:r w:rsidR="007C1577">
        <w:rPr>
          <w:rtl/>
        </w:rPr>
        <w:t>ה</w:t>
      </w:r>
      <w:r>
        <w:rPr>
          <w:rtl/>
        </w:rPr>
        <w:t xml:space="preserve"> הקלסית לסימנים אלה הם "המידה או המשקל או </w:t>
      </w:r>
      <w:proofErr w:type="spellStart"/>
      <w:r>
        <w:rPr>
          <w:rtl/>
        </w:rPr>
        <w:t>המנין</w:t>
      </w:r>
      <w:proofErr w:type="spellEnd"/>
      <w:r>
        <w:rPr>
          <w:rtl/>
        </w:rPr>
        <w:t xml:space="preserve"> או מקום האבדה"</w:t>
      </w:r>
      <w:r w:rsidR="00933869">
        <w:rPr>
          <w:rStyle w:val="FootnoteReference"/>
          <w:rtl/>
        </w:rPr>
        <w:footnoteReference w:id="2"/>
      </w:r>
      <w:r>
        <w:rPr>
          <w:rtl/>
        </w:rPr>
        <w:t xml:space="preserve"> (גזלה ואבדה </w:t>
      </w:r>
      <w:proofErr w:type="spellStart"/>
      <w:r>
        <w:rPr>
          <w:rtl/>
        </w:rPr>
        <w:t>פי"ג</w:t>
      </w:r>
      <w:proofErr w:type="spellEnd"/>
      <w:r>
        <w:rPr>
          <w:rtl/>
        </w:rPr>
        <w:t xml:space="preserve"> ה"ה).</w:t>
      </w:r>
    </w:p>
    <w:p w:rsidR="00D66BA4" w:rsidRDefault="00D66BA4" w:rsidP="00080635">
      <w:pPr>
        <w:rPr>
          <w:rtl/>
        </w:rPr>
      </w:pPr>
      <w:r w:rsidRPr="00933869">
        <w:rPr>
          <w:b/>
          <w:bCs/>
          <w:rtl/>
        </w:rPr>
        <w:t>3.</w:t>
      </w:r>
      <w:r>
        <w:rPr>
          <w:rtl/>
        </w:rPr>
        <w:t xml:space="preserve"> סימנים מובהקים, המהווים זיהוי ודאי של האבדה: "נקב בצד אות פלונית" - אם יש בשטר חור על יד אות מסוימת, ניתן להניח שסימן זה ייחודי. לכן אם אבד גט שיש בו חור ליד אות מסוימת, ואז נמצא גט שיש בו אותו סימן, אפשר להניח על דרך ודאי שזהו הגט שאבד.</w:t>
      </w:r>
    </w:p>
    <w:p w:rsidR="00D66BA4" w:rsidRDefault="00D66BA4" w:rsidP="00080635">
      <w:pPr>
        <w:rPr>
          <w:rtl/>
        </w:rPr>
      </w:pPr>
      <w:r>
        <w:rPr>
          <w:rtl/>
        </w:rPr>
        <w:t xml:space="preserve">מה ההבדל בין סימן מובהק (3) לבין סימן בינוני (2)? לגבי סימנים מובהקים יש קונצנזוס שאף מדין תורה אפשר להשיב על פיהם, ואילו לגבי סימן בינוני מסתפקת הגמרא </w:t>
      </w:r>
      <w:proofErr w:type="spellStart"/>
      <w:r>
        <w:rPr>
          <w:rtl/>
        </w:rPr>
        <w:t>בבבא</w:t>
      </w:r>
      <w:proofErr w:type="spellEnd"/>
      <w:r>
        <w:rPr>
          <w:rtl/>
        </w:rPr>
        <w:t xml:space="preserve"> מציעא (דף </w:t>
      </w:r>
      <w:proofErr w:type="spellStart"/>
      <w:r>
        <w:rPr>
          <w:rtl/>
        </w:rPr>
        <w:t>כז</w:t>
      </w:r>
      <w:proofErr w:type="spellEnd"/>
      <w:r>
        <w:rPr>
          <w:rtl/>
        </w:rPr>
        <w:t xml:space="preserve">) אם משיבים על פיהם אבדה מדין תורה, או שמא רק מדרבנן. </w:t>
      </w:r>
      <w:proofErr w:type="spellStart"/>
      <w:r>
        <w:rPr>
          <w:rtl/>
        </w:rPr>
        <w:t>הנפקא</w:t>
      </w:r>
      <w:proofErr w:type="spellEnd"/>
      <w:r>
        <w:rPr>
          <w:rtl/>
        </w:rPr>
        <w:t xml:space="preserve"> מינה של השאלה אם סומכים על סימנים בינוניים מדרבנן או מדאורייתא היא השבת גט על פיהם: אם סימנים בינוניים דאורייתא, אפשר להשיב על פיהם אפילו גט ולהתיר את האישה המגורשת לעולם; אם סימנים אלו תקפים רק מדרבנן, אי אפשר להשיב על פיהם גט.</w:t>
      </w:r>
    </w:p>
    <w:p w:rsidR="00D66BA4" w:rsidRDefault="00D66BA4" w:rsidP="00933869">
      <w:pPr>
        <w:pStyle w:val="3"/>
        <w:rPr>
          <w:rtl/>
        </w:rPr>
      </w:pPr>
      <w:r>
        <w:rPr>
          <w:rtl/>
        </w:rPr>
        <w:t>תפקידם של סימנים בהשבת אבדה?</w:t>
      </w:r>
    </w:p>
    <w:p w:rsidR="00933869" w:rsidRDefault="00D66BA4" w:rsidP="00080635">
      <w:pPr>
        <w:rPr>
          <w:rtl/>
        </w:rPr>
      </w:pPr>
      <w:r>
        <w:rPr>
          <w:rtl/>
        </w:rPr>
        <w:t xml:space="preserve">בפשטות מטרת הסימנים היא זיהוי החפץ. כך אפשר להוכיח מן ההקבלה בין השבת אבדה לבין תחומים הלכתיים אחרים שבהם קיים דין סימנים. אחד התחומים האלה הוא כלאי בהמה: </w:t>
      </w:r>
    </w:p>
    <w:p w:rsidR="00933869" w:rsidRDefault="00D66BA4" w:rsidP="007C1577">
      <w:pPr>
        <w:pStyle w:val="a0"/>
        <w:rPr>
          <w:rtl/>
        </w:rPr>
      </w:pPr>
      <w:r>
        <w:rPr>
          <w:rtl/>
        </w:rPr>
        <w:t xml:space="preserve">"אין </w:t>
      </w:r>
      <w:proofErr w:type="spellStart"/>
      <w:r>
        <w:rPr>
          <w:rtl/>
        </w:rPr>
        <w:t>מרביעין</w:t>
      </w:r>
      <w:proofErr w:type="spellEnd"/>
      <w:r>
        <w:rPr>
          <w:rtl/>
        </w:rPr>
        <w:t xml:space="preserve"> עליה לא מין סוס ולא מין חמור, לפי שאין יודעין במינה. </w:t>
      </w:r>
      <w:proofErr w:type="spellStart"/>
      <w:r>
        <w:rPr>
          <w:rtl/>
        </w:rPr>
        <w:t>וליבדוק</w:t>
      </w:r>
      <w:proofErr w:type="spellEnd"/>
      <w:r>
        <w:rPr>
          <w:rtl/>
        </w:rPr>
        <w:t xml:space="preserve"> </w:t>
      </w:r>
      <w:proofErr w:type="spellStart"/>
      <w:r>
        <w:rPr>
          <w:rtl/>
        </w:rPr>
        <w:t>בסימנין</w:t>
      </w:r>
      <w:proofErr w:type="spellEnd"/>
      <w:r>
        <w:rPr>
          <w:rtl/>
        </w:rPr>
        <w:t xml:space="preserve">, </w:t>
      </w:r>
      <w:proofErr w:type="spellStart"/>
      <w:r>
        <w:rPr>
          <w:rtl/>
        </w:rPr>
        <w:t>דאמר</w:t>
      </w:r>
      <w:proofErr w:type="spellEnd"/>
      <w:r>
        <w:rPr>
          <w:rtl/>
        </w:rPr>
        <w:t xml:space="preserve"> </w:t>
      </w:r>
      <w:proofErr w:type="spellStart"/>
      <w:r>
        <w:rPr>
          <w:rtl/>
        </w:rPr>
        <w:t>אביי</w:t>
      </w:r>
      <w:proofErr w:type="spellEnd"/>
      <w:r>
        <w:rPr>
          <w:rtl/>
        </w:rPr>
        <w:t xml:space="preserve"> עבי קליה בר חמרא... אמר ליה ר' אבא לשמעיה: אי מעיילת לי </w:t>
      </w:r>
      <w:proofErr w:type="spellStart"/>
      <w:r>
        <w:rPr>
          <w:rtl/>
        </w:rPr>
        <w:t>כודנייתא</w:t>
      </w:r>
      <w:proofErr w:type="spellEnd"/>
      <w:r>
        <w:rPr>
          <w:rtl/>
        </w:rPr>
        <w:t xml:space="preserve"> </w:t>
      </w:r>
      <w:proofErr w:type="spellStart"/>
      <w:r>
        <w:rPr>
          <w:rtl/>
        </w:rPr>
        <w:t>בריספק</w:t>
      </w:r>
      <w:proofErr w:type="spellEnd"/>
      <w:r>
        <w:rPr>
          <w:rtl/>
        </w:rPr>
        <w:t xml:space="preserve"> עיין </w:t>
      </w:r>
      <w:proofErr w:type="spellStart"/>
      <w:r>
        <w:rPr>
          <w:rtl/>
        </w:rPr>
        <w:t>להנך</w:t>
      </w:r>
      <w:proofErr w:type="spellEnd"/>
      <w:r>
        <w:rPr>
          <w:rtl/>
        </w:rPr>
        <w:t xml:space="preserve"> </w:t>
      </w:r>
      <w:proofErr w:type="spellStart"/>
      <w:r>
        <w:rPr>
          <w:rtl/>
        </w:rPr>
        <w:t>דדמיין</w:t>
      </w:r>
      <w:proofErr w:type="spellEnd"/>
      <w:r>
        <w:rPr>
          <w:rtl/>
        </w:rPr>
        <w:t xml:space="preserve"> להדדי ועייל לי. </w:t>
      </w:r>
      <w:proofErr w:type="spellStart"/>
      <w:r>
        <w:rPr>
          <w:rtl/>
        </w:rPr>
        <w:t>אלמא</w:t>
      </w:r>
      <w:proofErr w:type="spellEnd"/>
      <w:r>
        <w:rPr>
          <w:rtl/>
        </w:rPr>
        <w:t xml:space="preserve"> </w:t>
      </w:r>
      <w:proofErr w:type="spellStart"/>
      <w:r>
        <w:rPr>
          <w:rtl/>
        </w:rPr>
        <w:t>קסבר</w:t>
      </w:r>
      <w:proofErr w:type="spellEnd"/>
      <w:r>
        <w:rPr>
          <w:rtl/>
        </w:rPr>
        <w:t xml:space="preserve">: אין </w:t>
      </w:r>
      <w:proofErr w:type="spellStart"/>
      <w:r>
        <w:rPr>
          <w:rtl/>
        </w:rPr>
        <w:t>חוששין</w:t>
      </w:r>
      <w:proofErr w:type="spellEnd"/>
      <w:r>
        <w:rPr>
          <w:rtl/>
        </w:rPr>
        <w:t xml:space="preserve"> לזרע האב, </w:t>
      </w:r>
      <w:proofErr w:type="spellStart"/>
      <w:r>
        <w:rPr>
          <w:rtl/>
        </w:rPr>
        <w:t>וסימנין</w:t>
      </w:r>
      <w:proofErr w:type="spellEnd"/>
      <w:r>
        <w:rPr>
          <w:rtl/>
        </w:rPr>
        <w:t xml:space="preserve"> דאורייתא"</w:t>
      </w:r>
      <w:r w:rsidR="00933869">
        <w:rPr>
          <w:rtl/>
        </w:rPr>
        <w:tab/>
      </w:r>
      <w:r>
        <w:rPr>
          <w:rtl/>
        </w:rPr>
        <w:t>(חולין עט</w:t>
      </w:r>
      <w:r w:rsidR="007C1577">
        <w:rPr>
          <w:rtl/>
        </w:rPr>
        <w:t>.</w:t>
      </w:r>
      <w:r>
        <w:rPr>
          <w:rtl/>
        </w:rPr>
        <w:t xml:space="preserve"> </w:t>
      </w:r>
      <w:r w:rsidR="007C1577">
        <w:rPr>
          <w:rtl/>
        </w:rPr>
        <w:t>ב</w:t>
      </w:r>
      <w:r>
        <w:rPr>
          <w:rtl/>
        </w:rPr>
        <w:t xml:space="preserve">סוף </w:t>
      </w:r>
      <w:r w:rsidR="007C1577">
        <w:rPr>
          <w:rtl/>
        </w:rPr>
        <w:t>העמוד</w:t>
      </w:r>
      <w:r>
        <w:rPr>
          <w:rtl/>
        </w:rPr>
        <w:t xml:space="preserve">). </w:t>
      </w:r>
    </w:p>
    <w:p w:rsidR="00933869" w:rsidRDefault="00D66BA4" w:rsidP="00080635">
      <w:pPr>
        <w:rPr>
          <w:rtl/>
        </w:rPr>
      </w:pPr>
      <w:r>
        <w:rPr>
          <w:rtl/>
        </w:rPr>
        <w:t xml:space="preserve">וברש"י שם: </w:t>
      </w:r>
    </w:p>
    <w:p w:rsidR="00D66BA4" w:rsidRDefault="00D66BA4" w:rsidP="00933869">
      <w:pPr>
        <w:pStyle w:val="a0"/>
        <w:rPr>
          <w:rtl/>
        </w:rPr>
      </w:pPr>
      <w:r>
        <w:rPr>
          <w:rtl/>
        </w:rPr>
        <w:t>"</w:t>
      </w:r>
      <w:proofErr w:type="spellStart"/>
      <w:r>
        <w:rPr>
          <w:rtl/>
        </w:rPr>
        <w:t>וסימנין</w:t>
      </w:r>
      <w:proofErr w:type="spellEnd"/>
      <w:r>
        <w:rPr>
          <w:rtl/>
        </w:rPr>
        <w:t xml:space="preserve"> דאורייתא - </w:t>
      </w:r>
      <w:proofErr w:type="spellStart"/>
      <w:r>
        <w:rPr>
          <w:rtl/>
        </w:rPr>
        <w:t>מדסמיך</w:t>
      </w:r>
      <w:proofErr w:type="spellEnd"/>
      <w:r>
        <w:rPr>
          <w:rtl/>
        </w:rPr>
        <w:t xml:space="preserve"> </w:t>
      </w:r>
      <w:proofErr w:type="spellStart"/>
      <w:r>
        <w:rPr>
          <w:rtl/>
        </w:rPr>
        <w:t>אסימנין</w:t>
      </w:r>
      <w:proofErr w:type="spellEnd"/>
      <w:r>
        <w:rPr>
          <w:rtl/>
        </w:rPr>
        <w:t xml:space="preserve"> ושרי </w:t>
      </w:r>
      <w:proofErr w:type="spellStart"/>
      <w:r>
        <w:rPr>
          <w:rtl/>
        </w:rPr>
        <w:t>איסורא</w:t>
      </w:r>
      <w:proofErr w:type="spellEnd"/>
      <w:r>
        <w:rPr>
          <w:rtl/>
        </w:rPr>
        <w:t xml:space="preserve"> </w:t>
      </w:r>
      <w:proofErr w:type="spellStart"/>
      <w:r>
        <w:rPr>
          <w:rtl/>
        </w:rPr>
        <w:t>עלייהו</w:t>
      </w:r>
      <w:proofErr w:type="spellEnd"/>
      <w:r>
        <w:rPr>
          <w:rtl/>
        </w:rPr>
        <w:t xml:space="preserve">, שמע מינה הא </w:t>
      </w:r>
      <w:proofErr w:type="spellStart"/>
      <w:r>
        <w:rPr>
          <w:rtl/>
        </w:rPr>
        <w:t>דסמכינן</w:t>
      </w:r>
      <w:proofErr w:type="spellEnd"/>
      <w:r>
        <w:rPr>
          <w:rtl/>
        </w:rPr>
        <w:t xml:space="preserve"> </w:t>
      </w:r>
      <w:proofErr w:type="spellStart"/>
      <w:r>
        <w:rPr>
          <w:rtl/>
        </w:rPr>
        <w:t>אסימנין</w:t>
      </w:r>
      <w:proofErr w:type="spellEnd"/>
      <w:r>
        <w:rPr>
          <w:rtl/>
        </w:rPr>
        <w:t xml:space="preserve"> בחזרת אבדה - </w:t>
      </w:r>
      <w:proofErr w:type="spellStart"/>
      <w:r>
        <w:rPr>
          <w:rtl/>
        </w:rPr>
        <w:t>כדאמרינן</w:t>
      </w:r>
      <w:proofErr w:type="spellEnd"/>
      <w:r>
        <w:rPr>
          <w:rtl/>
        </w:rPr>
        <w:t xml:space="preserve"> באלו מציאות (בבא מציעא דף </w:t>
      </w:r>
      <w:proofErr w:type="spellStart"/>
      <w:r>
        <w:rPr>
          <w:rtl/>
        </w:rPr>
        <w:t>כז</w:t>
      </w:r>
      <w:proofErr w:type="spellEnd"/>
      <w:r>
        <w:rPr>
          <w:rtl/>
        </w:rPr>
        <w:t xml:space="preserve">) </w:t>
      </w:r>
      <w:r>
        <w:rPr>
          <w:rtl/>
        </w:rPr>
        <w:lastRenderedPageBreak/>
        <w:t xml:space="preserve">- דאורייתא היא. דאי דרבנן - נהי </w:t>
      </w:r>
      <w:proofErr w:type="spellStart"/>
      <w:r>
        <w:rPr>
          <w:rtl/>
        </w:rPr>
        <w:t>דעבוד</w:t>
      </w:r>
      <w:proofErr w:type="spellEnd"/>
      <w:r>
        <w:rPr>
          <w:rtl/>
        </w:rPr>
        <w:t xml:space="preserve"> רבנן </w:t>
      </w:r>
      <w:proofErr w:type="spellStart"/>
      <w:r>
        <w:rPr>
          <w:rtl/>
        </w:rPr>
        <w:t>תקנתא</w:t>
      </w:r>
      <w:proofErr w:type="spellEnd"/>
      <w:r>
        <w:rPr>
          <w:rtl/>
        </w:rPr>
        <w:t xml:space="preserve"> </w:t>
      </w:r>
      <w:proofErr w:type="spellStart"/>
      <w:r>
        <w:rPr>
          <w:rtl/>
        </w:rPr>
        <w:t>בממונא</w:t>
      </w:r>
      <w:proofErr w:type="spellEnd"/>
      <w:r>
        <w:rPr>
          <w:rtl/>
        </w:rPr>
        <w:t xml:space="preserve">, </w:t>
      </w:r>
      <w:proofErr w:type="spellStart"/>
      <w:r>
        <w:rPr>
          <w:rtl/>
        </w:rPr>
        <w:t>באיסורא</w:t>
      </w:r>
      <w:proofErr w:type="spellEnd"/>
      <w:r>
        <w:rPr>
          <w:rtl/>
        </w:rPr>
        <w:t xml:space="preserve"> מי מצו מתקני? אלא שמע מינה דאורייתא היא. והתם באלו מציאות </w:t>
      </w:r>
      <w:proofErr w:type="spellStart"/>
      <w:r>
        <w:rPr>
          <w:rtl/>
        </w:rPr>
        <w:t>מיבעיא</w:t>
      </w:r>
      <w:proofErr w:type="spellEnd"/>
      <w:r>
        <w:rPr>
          <w:rtl/>
        </w:rPr>
        <w:t xml:space="preserve"> לן </w:t>
      </w:r>
      <w:proofErr w:type="spellStart"/>
      <w:r>
        <w:rPr>
          <w:rtl/>
        </w:rPr>
        <w:t>סימנין</w:t>
      </w:r>
      <w:proofErr w:type="spellEnd"/>
      <w:r>
        <w:rPr>
          <w:rtl/>
        </w:rPr>
        <w:t xml:space="preserve"> דאורייתא או דרבנן".</w:t>
      </w:r>
    </w:p>
    <w:p w:rsidR="00D66BA4" w:rsidRDefault="00D66BA4" w:rsidP="00080635">
      <w:pPr>
        <w:rPr>
          <w:rtl/>
        </w:rPr>
      </w:pPr>
      <w:r>
        <w:rPr>
          <w:rtl/>
        </w:rPr>
        <w:t xml:space="preserve">הגמרא אמרה שניתן לזהות בהמה על פי סימנים. מובן שהזיהוי שבו מדובר נוגע לדיני תורה, וחייב לפיכך להיות ברמה שמספקת מדאורייתא. אם כן, היות שאפשר לזהות בהמה על פי סימנים לעניין איסור כלאיים, אפשר לסמוך על סימנים בכל מקום שבו צריך זיהוי ודאי של החפץ. רש"י מסיק מכאן שסימנים דאורייתא בכל מקום, </w:t>
      </w:r>
      <w:proofErr w:type="spellStart"/>
      <w:r>
        <w:rPr>
          <w:rtl/>
        </w:rPr>
        <w:t>ונמצינו</w:t>
      </w:r>
      <w:proofErr w:type="spellEnd"/>
      <w:r>
        <w:rPr>
          <w:rtl/>
        </w:rPr>
        <w:t xml:space="preserve"> למדים שמטרת הסימנים היא לזהות את החפץ.</w:t>
      </w:r>
    </w:p>
    <w:p w:rsidR="00933869" w:rsidRDefault="00D66BA4" w:rsidP="00080635">
      <w:pPr>
        <w:rPr>
          <w:rtl/>
        </w:rPr>
      </w:pPr>
      <w:r>
        <w:rPr>
          <w:rtl/>
        </w:rPr>
        <w:t xml:space="preserve">ברם, הרמב"ן שם חולק על המסקנה שמסיק רש"י: </w:t>
      </w:r>
    </w:p>
    <w:p w:rsidR="00D66BA4" w:rsidRDefault="00D66BA4" w:rsidP="00933869">
      <w:pPr>
        <w:pStyle w:val="a0"/>
        <w:rPr>
          <w:rtl/>
        </w:rPr>
      </w:pPr>
      <w:r>
        <w:rPr>
          <w:rtl/>
        </w:rPr>
        <w:t xml:space="preserve">"ומה </w:t>
      </w:r>
      <w:proofErr w:type="spellStart"/>
      <w:r>
        <w:rPr>
          <w:rtl/>
        </w:rPr>
        <w:t>שפירש"י</w:t>
      </w:r>
      <w:proofErr w:type="spellEnd"/>
      <w:r>
        <w:rPr>
          <w:rtl/>
        </w:rPr>
        <w:t xml:space="preserve"> ז"ל '</w:t>
      </w:r>
      <w:proofErr w:type="spellStart"/>
      <w:r>
        <w:rPr>
          <w:rtl/>
        </w:rPr>
        <w:t>וסימנין</w:t>
      </w:r>
      <w:proofErr w:type="spellEnd"/>
      <w:r>
        <w:rPr>
          <w:rtl/>
        </w:rPr>
        <w:t xml:space="preserve"> דאורייתא - מסימני אבדה </w:t>
      </w:r>
      <w:proofErr w:type="spellStart"/>
      <w:r>
        <w:rPr>
          <w:rtl/>
        </w:rPr>
        <w:t>קאמר</w:t>
      </w:r>
      <w:proofErr w:type="spellEnd"/>
      <w:r>
        <w:rPr>
          <w:rtl/>
        </w:rPr>
        <w:t xml:space="preserve">', </w:t>
      </w:r>
      <w:proofErr w:type="spellStart"/>
      <w:r>
        <w:rPr>
          <w:rtl/>
        </w:rPr>
        <w:t>תמיה</w:t>
      </w:r>
      <w:proofErr w:type="spellEnd"/>
      <w:r>
        <w:rPr>
          <w:rtl/>
        </w:rPr>
        <w:t xml:space="preserve"> אני בו: מה ענין זו לזו? אפילו כשתמצא לומר </w:t>
      </w:r>
      <w:proofErr w:type="spellStart"/>
      <w:r>
        <w:rPr>
          <w:rtl/>
        </w:rPr>
        <w:t>סימנין</w:t>
      </w:r>
      <w:proofErr w:type="spellEnd"/>
      <w:r>
        <w:rPr>
          <w:rtl/>
        </w:rPr>
        <w:t xml:space="preserve"> אלו דאורייתא, יש לומר שאין </w:t>
      </w:r>
      <w:proofErr w:type="spellStart"/>
      <w:r>
        <w:rPr>
          <w:rtl/>
        </w:rPr>
        <w:t>מחזירין</w:t>
      </w:r>
      <w:proofErr w:type="spellEnd"/>
      <w:r>
        <w:rPr>
          <w:rtl/>
        </w:rPr>
        <w:t xml:space="preserve"> אבדה </w:t>
      </w:r>
      <w:proofErr w:type="spellStart"/>
      <w:r>
        <w:rPr>
          <w:rtl/>
        </w:rPr>
        <w:t>בסימנין</w:t>
      </w:r>
      <w:proofErr w:type="spellEnd"/>
      <w:r>
        <w:rPr>
          <w:rtl/>
        </w:rPr>
        <w:t xml:space="preserve">, </w:t>
      </w:r>
      <w:r w:rsidRPr="00080635">
        <w:rPr>
          <w:b/>
          <w:bCs/>
          <w:rtl/>
        </w:rPr>
        <w:t>ד</w:t>
      </w:r>
      <w:r w:rsidR="00080635" w:rsidRPr="00080635">
        <w:rPr>
          <w:b/>
          <w:bCs/>
          <w:rtl/>
        </w:rPr>
        <w:t>י</w:t>
      </w:r>
      <w:r w:rsidRPr="00080635">
        <w:rPr>
          <w:b/>
          <w:bCs/>
          <w:rtl/>
        </w:rPr>
        <w:t xml:space="preserve"> </w:t>
      </w:r>
      <w:proofErr w:type="spellStart"/>
      <w:r w:rsidRPr="00080635">
        <w:rPr>
          <w:b/>
          <w:bCs/>
          <w:rtl/>
        </w:rPr>
        <w:t>ל</w:t>
      </w:r>
      <w:r w:rsidR="00080635" w:rsidRPr="00080635">
        <w:rPr>
          <w:b/>
          <w:bCs/>
          <w:rtl/>
        </w:rPr>
        <w:t>מא</w:t>
      </w:r>
      <w:proofErr w:type="spellEnd"/>
      <w:r w:rsidRPr="00080635">
        <w:rPr>
          <w:b/>
          <w:bCs/>
          <w:rtl/>
        </w:rPr>
        <w:t xml:space="preserve"> </w:t>
      </w:r>
      <w:proofErr w:type="spellStart"/>
      <w:r w:rsidRPr="00080635">
        <w:rPr>
          <w:b/>
          <w:bCs/>
          <w:rtl/>
        </w:rPr>
        <w:t>מ</w:t>
      </w:r>
      <w:r w:rsidR="00080635" w:rsidRPr="00080635">
        <w:rPr>
          <w:b/>
          <w:bCs/>
          <w:rtl/>
        </w:rPr>
        <w:t>יחזא</w:t>
      </w:r>
      <w:proofErr w:type="spellEnd"/>
      <w:r w:rsidRPr="00080635">
        <w:rPr>
          <w:b/>
          <w:bCs/>
          <w:rtl/>
        </w:rPr>
        <w:t xml:space="preserve"> </w:t>
      </w:r>
      <w:proofErr w:type="spellStart"/>
      <w:r w:rsidRPr="00080635">
        <w:rPr>
          <w:b/>
          <w:bCs/>
          <w:rtl/>
        </w:rPr>
        <w:t>חזא</w:t>
      </w:r>
      <w:proofErr w:type="spellEnd"/>
      <w:r>
        <w:rPr>
          <w:rtl/>
        </w:rPr>
        <w:t xml:space="preserve">, אי </w:t>
      </w:r>
      <w:proofErr w:type="spellStart"/>
      <w:r>
        <w:rPr>
          <w:rtl/>
        </w:rPr>
        <w:t>נמי</w:t>
      </w:r>
      <w:proofErr w:type="spellEnd"/>
      <w:r>
        <w:rPr>
          <w:rtl/>
        </w:rPr>
        <w:t xml:space="preserve"> כסומא בארובה </w:t>
      </w:r>
      <w:proofErr w:type="spellStart"/>
      <w:r>
        <w:rPr>
          <w:rtl/>
        </w:rPr>
        <w:t>וכו</w:t>
      </w:r>
      <w:proofErr w:type="spellEnd"/>
      <w:r>
        <w:rPr>
          <w:rtl/>
        </w:rPr>
        <w:t>'. ואין לסימני אבדה עסק כאן וכאן".</w:t>
      </w:r>
    </w:p>
    <w:p w:rsidR="00D66BA4" w:rsidRDefault="00D66BA4" w:rsidP="00080635">
      <w:pPr>
        <w:rPr>
          <w:rtl/>
        </w:rPr>
      </w:pPr>
      <w:r>
        <w:rPr>
          <w:rtl/>
        </w:rPr>
        <w:t>הרמב"ן אומר כי אף על פי שדין כלאי בהמה דורש רמת בירור דאורייתא, אין להסיק מן הסוגיה העוסקת בו  שסימנים דאורייתא, משום שבתחום של השבת אבדה הסימנים צריכים להתמודד לא רק עם זיהוי החפץ אלא אף עם הסכנה שהאדם שטוען שהוא המאבד איננו באמת המאבד.</w:t>
      </w:r>
    </w:p>
    <w:p w:rsidR="00D66BA4" w:rsidRDefault="00D66BA4" w:rsidP="00080635">
      <w:pPr>
        <w:rPr>
          <w:rtl/>
        </w:rPr>
      </w:pPr>
      <w:r>
        <w:rPr>
          <w:rtl/>
        </w:rPr>
        <w:t>סיכום: ראינו את האפשרות להשיב גט על פי סימנים - אך רק על פי סימנים מובהקים. ראינו מהם סימנים מובהקים ועסקנו במטרת סימנים בכלל, ושתי מטרות עלו בידינו: האחת - זיהוי החפץ, והשנייה - לוודא שהטוען הוא אכן בעל האבדה, ולא נוכל מצוי שמנחש את סימניה.</w:t>
      </w:r>
    </w:p>
    <w:p w:rsidR="00D66BA4" w:rsidRDefault="00D66BA4" w:rsidP="00080635">
      <w:pPr>
        <w:rPr>
          <w:rtl/>
        </w:rPr>
      </w:pPr>
      <w:r>
        <w:rPr>
          <w:rtl/>
        </w:rPr>
        <w:t>שאלה לסיכום: מה קשה יותר - להשיב אבדה על פי סימנים או להכריע בדיני איסור על פי סימנים? תן דעתך מצד אחד לרמב"ן בחולין (האומר שסימנים נועדו למנוע בעיה של רמאות), ומצד שני - להשלכות האפשרות שסימנים דרבנן.</w:t>
      </w:r>
    </w:p>
    <w:p w:rsidR="00933869" w:rsidRDefault="00D66BA4" w:rsidP="00080635">
      <w:pPr>
        <w:pStyle w:val="2"/>
        <w:rPr>
          <w:rtl/>
        </w:rPr>
      </w:pPr>
      <w:r>
        <w:rPr>
          <w:rtl/>
        </w:rPr>
        <w:t xml:space="preserve">2. </w:t>
      </w:r>
    </w:p>
    <w:p w:rsidR="00D66BA4" w:rsidRDefault="00D66BA4" w:rsidP="00933869">
      <w:pPr>
        <w:pStyle w:val="3"/>
        <w:rPr>
          <w:rtl/>
        </w:rPr>
      </w:pPr>
      <w:r>
        <w:rPr>
          <w:rtl/>
        </w:rPr>
        <w:t>סימנים מובהקים וסימנים שאינם מובהקים</w:t>
      </w:r>
    </w:p>
    <w:p w:rsidR="00D66BA4" w:rsidRDefault="00D66BA4" w:rsidP="00080635">
      <w:pPr>
        <w:rPr>
          <w:rtl/>
        </w:rPr>
      </w:pPr>
      <w:r>
        <w:rPr>
          <w:rtl/>
        </w:rPr>
        <w:t xml:space="preserve">מן הגמרא </w:t>
      </w:r>
      <w:proofErr w:type="spellStart"/>
      <w:r>
        <w:rPr>
          <w:rtl/>
        </w:rPr>
        <w:t>בגטין</w:t>
      </w:r>
      <w:proofErr w:type="spellEnd"/>
      <w:r>
        <w:rPr>
          <w:rtl/>
        </w:rPr>
        <w:t xml:space="preserve"> </w:t>
      </w:r>
      <w:proofErr w:type="spellStart"/>
      <w:r>
        <w:rPr>
          <w:rtl/>
        </w:rPr>
        <w:t>כז</w:t>
      </w:r>
      <w:proofErr w:type="spellEnd"/>
      <w:r>
        <w:rPr>
          <w:rtl/>
        </w:rPr>
        <w:t xml:space="preserve"> עולה, שאם סימנים דאורייתא אפשר לסמוך על סימנים שאינם מובהקים, ואם סימנים אינם דאורייתא - אפשר לסמוך רק על סימנים מובהקים. קביעה זו מעלה שאלה לגבי אופי ההבחנה בין סימנים מובהקים לסימנים שאינם מובהקים, שכן משמע שגם אם סימנים אינם דאורייתא אפשר לסמוך על סימנים מובהקים. מהו ההבדל בין סימנים מובהקים לסימנים שאינם מובהקים? האם שניהם פועלים באותו מישור, אלא שסימנים מובהקים הם סימנים טובים יותר, או שמא ישנו הבדל עקרוני בין סימנים מובהקים לסימנים שאינם מובהקים?</w:t>
      </w:r>
    </w:p>
    <w:p w:rsidR="00D66BA4" w:rsidRDefault="00D66BA4" w:rsidP="00080635">
      <w:pPr>
        <w:rPr>
          <w:rtl/>
        </w:rPr>
      </w:pPr>
      <w:r>
        <w:rPr>
          <w:rtl/>
        </w:rPr>
        <w:lastRenderedPageBreak/>
        <w:t>רש"י בסוגייתנו (</w:t>
      </w:r>
      <w:proofErr w:type="spellStart"/>
      <w:r>
        <w:rPr>
          <w:rtl/>
        </w:rPr>
        <w:t>כז</w:t>
      </w:r>
      <w:proofErr w:type="spellEnd"/>
      <w:r>
        <w:rPr>
          <w:rtl/>
        </w:rPr>
        <w:t>: ד"ה ודווק</w:t>
      </w:r>
      <w:r w:rsidR="00933869">
        <w:rPr>
          <w:rtl/>
        </w:rPr>
        <w:t>א) מתבטא לגבי סימנים מובהקים בזו</w:t>
      </w:r>
      <w:r>
        <w:rPr>
          <w:rtl/>
        </w:rPr>
        <w:t xml:space="preserve"> הלשון: "דהוי סימן מובהק, </w:t>
      </w:r>
      <w:proofErr w:type="spellStart"/>
      <w:r>
        <w:rPr>
          <w:rtl/>
        </w:rPr>
        <w:t>דאין</w:t>
      </w:r>
      <w:proofErr w:type="spellEnd"/>
      <w:r>
        <w:rPr>
          <w:rtl/>
        </w:rPr>
        <w:t xml:space="preserve"> עדות ברורה מזו". מרש"י עולה כי סימנים מובהקים הם בגדר אחר, ואפשר לדמותם לעדות, שהיא הראיה המוחלטת ביותר שיש.</w:t>
      </w:r>
    </w:p>
    <w:p w:rsidR="00933869" w:rsidRDefault="00D66BA4" w:rsidP="00933869">
      <w:pPr>
        <w:rPr>
          <w:rtl/>
        </w:rPr>
      </w:pPr>
      <w:r>
        <w:rPr>
          <w:rtl/>
        </w:rPr>
        <w:t xml:space="preserve">מאידך, ישנם ראשונים הסוברים שסימנים מובהקים פועלים באותו מישור שבו פועלים סימנים רגילים. </w:t>
      </w:r>
      <w:proofErr w:type="spellStart"/>
      <w:r>
        <w:rPr>
          <w:rtl/>
        </w:rPr>
        <w:t>הראב"ד</w:t>
      </w:r>
      <w:proofErr w:type="spellEnd"/>
      <w:r>
        <w:rPr>
          <w:rtl/>
        </w:rPr>
        <w:t xml:space="preserve"> דן בשאלה מניין לנו שאפשר להסתמך על סימנים מובהקים, וז</w:t>
      </w:r>
      <w:r w:rsidR="00933869">
        <w:rPr>
          <w:rtl/>
        </w:rPr>
        <w:t>ו</w:t>
      </w:r>
      <w:r>
        <w:rPr>
          <w:rtl/>
        </w:rPr>
        <w:t xml:space="preserve"> לשונו: </w:t>
      </w:r>
    </w:p>
    <w:p w:rsidR="00933869" w:rsidRDefault="00D66BA4" w:rsidP="007C1577">
      <w:pPr>
        <w:pStyle w:val="a0"/>
        <w:rPr>
          <w:rtl/>
        </w:rPr>
      </w:pPr>
      <w:r>
        <w:rPr>
          <w:rtl/>
        </w:rPr>
        <w:t xml:space="preserve">"'למאי נפקא מינה? </w:t>
      </w:r>
      <w:proofErr w:type="spellStart"/>
      <w:r>
        <w:rPr>
          <w:rtl/>
        </w:rPr>
        <w:t>לאהדורי</w:t>
      </w:r>
      <w:proofErr w:type="spellEnd"/>
      <w:r>
        <w:rPr>
          <w:rtl/>
        </w:rPr>
        <w:t xml:space="preserve"> גט </w:t>
      </w:r>
      <w:proofErr w:type="spellStart"/>
      <w:r>
        <w:rPr>
          <w:rtl/>
        </w:rPr>
        <w:t>אשה</w:t>
      </w:r>
      <w:proofErr w:type="spellEnd"/>
      <w:r>
        <w:rPr>
          <w:rtl/>
        </w:rPr>
        <w:t xml:space="preserve"> בסימנים' - פירוש - בסימן שאינו מובהק, אבל בסימן מובהק </w:t>
      </w:r>
      <w:proofErr w:type="spellStart"/>
      <w:r>
        <w:rPr>
          <w:rtl/>
        </w:rPr>
        <w:t>מיהא</w:t>
      </w:r>
      <w:proofErr w:type="spellEnd"/>
      <w:r>
        <w:rPr>
          <w:rtl/>
        </w:rPr>
        <w:t xml:space="preserve"> </w:t>
      </w:r>
      <w:proofErr w:type="spellStart"/>
      <w:r>
        <w:rPr>
          <w:rtl/>
        </w:rPr>
        <w:t>מהדרינן</w:t>
      </w:r>
      <w:proofErr w:type="spellEnd"/>
      <w:r>
        <w:rPr>
          <w:rtl/>
        </w:rPr>
        <w:t xml:space="preserve">. ולא </w:t>
      </w:r>
      <w:proofErr w:type="spellStart"/>
      <w:r>
        <w:rPr>
          <w:rtl/>
        </w:rPr>
        <w:t>ידענא</w:t>
      </w:r>
      <w:proofErr w:type="spellEnd"/>
      <w:r>
        <w:rPr>
          <w:rtl/>
        </w:rPr>
        <w:t xml:space="preserve"> מהי תיתי אי </w:t>
      </w:r>
      <w:proofErr w:type="spellStart"/>
      <w:r>
        <w:rPr>
          <w:rtl/>
        </w:rPr>
        <w:t>סימנין</w:t>
      </w:r>
      <w:proofErr w:type="spellEnd"/>
      <w:r>
        <w:rPr>
          <w:rtl/>
        </w:rPr>
        <w:t xml:space="preserve"> דרבנן </w:t>
      </w:r>
      <w:proofErr w:type="spellStart"/>
      <w:r>
        <w:rPr>
          <w:rtl/>
        </w:rPr>
        <w:t>נינהו</w:t>
      </w:r>
      <w:proofErr w:type="spellEnd"/>
      <w:r>
        <w:rPr>
          <w:rtl/>
        </w:rPr>
        <w:t xml:space="preserve">. ואיכא </w:t>
      </w:r>
      <w:proofErr w:type="spellStart"/>
      <w:r>
        <w:rPr>
          <w:rtl/>
        </w:rPr>
        <w:t>למימר</w:t>
      </w:r>
      <w:proofErr w:type="spellEnd"/>
      <w:r>
        <w:rPr>
          <w:rtl/>
        </w:rPr>
        <w:t xml:space="preserve">: מ'עד דרוש אחיך אותו' נפקא, </w:t>
      </w:r>
      <w:proofErr w:type="spellStart"/>
      <w:r>
        <w:rPr>
          <w:rtl/>
        </w:rPr>
        <w:t>דדרשינן</w:t>
      </w:r>
      <w:proofErr w:type="spellEnd"/>
      <w:r>
        <w:rPr>
          <w:rtl/>
        </w:rPr>
        <w:t xml:space="preserve">: 'עד שתדרוש את אחיך אם רמאי הוא אם אינו רמאי' </w:t>
      </w:r>
      <w:proofErr w:type="spellStart"/>
      <w:r>
        <w:rPr>
          <w:rtl/>
        </w:rPr>
        <w:t>וכו</w:t>
      </w:r>
      <w:proofErr w:type="spellEnd"/>
      <w:r>
        <w:rPr>
          <w:rtl/>
        </w:rPr>
        <w:t xml:space="preserve">'. </w:t>
      </w:r>
      <w:proofErr w:type="spellStart"/>
      <w:r>
        <w:rPr>
          <w:rtl/>
        </w:rPr>
        <w:t>והשתא</w:t>
      </w:r>
      <w:proofErr w:type="spellEnd"/>
      <w:r>
        <w:rPr>
          <w:rtl/>
        </w:rPr>
        <w:t xml:space="preserve"> מספקא לן הנך </w:t>
      </w:r>
      <w:proofErr w:type="spellStart"/>
      <w:r>
        <w:rPr>
          <w:rtl/>
        </w:rPr>
        <w:t>סימנין</w:t>
      </w:r>
      <w:proofErr w:type="spellEnd"/>
      <w:r>
        <w:rPr>
          <w:rtl/>
        </w:rPr>
        <w:t xml:space="preserve"> אי סימן מובהק הוא או לא. דאי סימן מובהק הוא, ורבנן הוא </w:t>
      </w:r>
      <w:proofErr w:type="spellStart"/>
      <w:r>
        <w:rPr>
          <w:rtl/>
        </w:rPr>
        <w:t>דעביד</w:t>
      </w:r>
      <w:proofErr w:type="spellEnd"/>
      <w:r>
        <w:rPr>
          <w:rtl/>
        </w:rPr>
        <w:t xml:space="preserve"> </w:t>
      </w:r>
      <w:proofErr w:type="spellStart"/>
      <w:r>
        <w:rPr>
          <w:rtl/>
        </w:rPr>
        <w:t>תקנתא</w:t>
      </w:r>
      <w:proofErr w:type="spellEnd"/>
      <w:r>
        <w:rPr>
          <w:rtl/>
        </w:rPr>
        <w:t xml:space="preserve"> </w:t>
      </w:r>
      <w:proofErr w:type="spellStart"/>
      <w:r>
        <w:rPr>
          <w:rtl/>
        </w:rPr>
        <w:t>לאהדורי</w:t>
      </w:r>
      <w:proofErr w:type="spellEnd"/>
      <w:r>
        <w:rPr>
          <w:rtl/>
        </w:rPr>
        <w:t xml:space="preserve"> </w:t>
      </w:r>
      <w:proofErr w:type="spellStart"/>
      <w:r>
        <w:rPr>
          <w:rtl/>
        </w:rPr>
        <w:t>אבידתא</w:t>
      </w:r>
      <w:proofErr w:type="spellEnd"/>
      <w:r>
        <w:rPr>
          <w:rtl/>
        </w:rPr>
        <w:t xml:space="preserve"> בסימן שאינו מובהק, אבל גט לא. ואי סימן שאינו מובהק הוא, אפילו</w:t>
      </w:r>
      <w:r w:rsidR="00933869">
        <w:rPr>
          <w:rtl/>
        </w:rPr>
        <w:t xml:space="preserve"> גט </w:t>
      </w:r>
      <w:proofErr w:type="spellStart"/>
      <w:r w:rsidR="00933869">
        <w:rPr>
          <w:rtl/>
        </w:rPr>
        <w:t>אשה</w:t>
      </w:r>
      <w:proofErr w:type="spellEnd"/>
      <w:r w:rsidR="00933869">
        <w:rPr>
          <w:rtl/>
        </w:rPr>
        <w:t xml:space="preserve"> </w:t>
      </w:r>
      <w:proofErr w:type="spellStart"/>
      <w:r w:rsidR="00933869">
        <w:rPr>
          <w:rtl/>
        </w:rPr>
        <w:t>נמי</w:t>
      </w:r>
      <w:proofErr w:type="spellEnd"/>
      <w:r w:rsidR="00933869">
        <w:rPr>
          <w:rtl/>
        </w:rPr>
        <w:t xml:space="preserve">, </w:t>
      </w:r>
      <w:proofErr w:type="spellStart"/>
      <w:r w:rsidR="00933869">
        <w:rPr>
          <w:rtl/>
        </w:rPr>
        <w:t>דהא</w:t>
      </w:r>
      <w:proofErr w:type="spellEnd"/>
      <w:r w:rsidR="00933869">
        <w:rPr>
          <w:rtl/>
        </w:rPr>
        <w:t xml:space="preserve"> דאורייתא הוא"</w:t>
      </w:r>
      <w:r w:rsidR="00933869">
        <w:rPr>
          <w:rtl/>
        </w:rPr>
        <w:tab/>
        <w:t xml:space="preserve">(שיטה מקובצת בבא מציעא </w:t>
      </w:r>
      <w:proofErr w:type="spellStart"/>
      <w:r w:rsidR="00933869">
        <w:rPr>
          <w:rtl/>
        </w:rPr>
        <w:t>כז</w:t>
      </w:r>
      <w:proofErr w:type="spellEnd"/>
      <w:r w:rsidR="007C1577">
        <w:rPr>
          <w:rtl/>
        </w:rPr>
        <w:t>:</w:t>
      </w:r>
      <w:r w:rsidR="00933869">
        <w:rPr>
          <w:rtl/>
        </w:rPr>
        <w:t>).</w:t>
      </w:r>
    </w:p>
    <w:p w:rsidR="00D66BA4" w:rsidRDefault="00D66BA4" w:rsidP="00933869">
      <w:pPr>
        <w:rPr>
          <w:rtl/>
        </w:rPr>
      </w:pPr>
      <w:proofErr w:type="spellStart"/>
      <w:r>
        <w:rPr>
          <w:rtl/>
        </w:rPr>
        <w:t>הראב"ד</w:t>
      </w:r>
      <w:proofErr w:type="spellEnd"/>
      <w:r>
        <w:rPr>
          <w:rtl/>
        </w:rPr>
        <w:t xml:space="preserve"> תמה מניין הביטחון שאפשר להסתמך על סימנים מובהקים, והוא משיב כי "הדרישה" שיש לדרוש את אחיך קודם שתשיב לו את אבדתו, הנלמדת מן הפסוק "עד דרוש אחיך", מתייחסת בוודאי לזיהוי על פי סימנים, והשאלה היא רק באילו סימנים מדובר. לשיטת רש"י שאלה זו כלל אינה עולה, משום שסימנים הם כעדות, ואינם צריכים לימוד מיוחד מן הפסוק. מבין השיטין ניכר, אם כן, שלשיטת </w:t>
      </w:r>
      <w:proofErr w:type="spellStart"/>
      <w:r>
        <w:rPr>
          <w:rtl/>
        </w:rPr>
        <w:t>הראב"ד</w:t>
      </w:r>
      <w:proofErr w:type="spellEnd"/>
      <w:r>
        <w:rPr>
          <w:rtl/>
        </w:rPr>
        <w:t xml:space="preserve"> אין הבדל מהותי בין סימנים מובהקים לבין סימנים שאינם מובהקים (לפחות בשלב ההווה </w:t>
      </w:r>
      <w:proofErr w:type="spellStart"/>
      <w:r>
        <w:rPr>
          <w:rtl/>
        </w:rPr>
        <w:t>אמינא</w:t>
      </w:r>
      <w:proofErr w:type="spellEnd"/>
      <w:r>
        <w:rPr>
          <w:rtl/>
        </w:rPr>
        <w:t>).</w:t>
      </w:r>
    </w:p>
    <w:p w:rsidR="00D66BA4" w:rsidRDefault="00D66BA4" w:rsidP="007C1577">
      <w:pPr>
        <w:rPr>
          <w:rtl/>
        </w:rPr>
      </w:pPr>
      <w:r>
        <w:rPr>
          <w:rtl/>
        </w:rPr>
        <w:t>נמצאנו למדים שישנן שתי גישות בסיסיות להבדל בין סימנים מובהקים לסימנים שאינם מובהקים (בינוניים): האחת גורסת כי יש הבדל מהותי ביניהם, בעוד שהשנייה גורסת שעקרונית ש</w:t>
      </w:r>
      <w:r w:rsidR="007C1577">
        <w:rPr>
          <w:rtl/>
        </w:rPr>
        <w:t>ניהם זהים</w:t>
      </w:r>
      <w:r>
        <w:rPr>
          <w:rtl/>
        </w:rPr>
        <w:t>.</w:t>
      </w:r>
    </w:p>
    <w:p w:rsidR="00D66BA4" w:rsidRDefault="00D66BA4" w:rsidP="00080635">
      <w:pPr>
        <w:rPr>
          <w:rtl/>
        </w:rPr>
      </w:pPr>
      <w:r>
        <w:rPr>
          <w:rtl/>
        </w:rPr>
        <w:t>להבדל בין גישות אלו ניתן להציע כמה נפקא מינות:</w:t>
      </w:r>
    </w:p>
    <w:p w:rsidR="00D66BA4" w:rsidRDefault="00080635" w:rsidP="00933869">
      <w:pPr>
        <w:rPr>
          <w:rtl/>
        </w:rPr>
      </w:pPr>
      <w:r w:rsidRPr="00933869">
        <w:rPr>
          <w:b/>
          <w:bCs/>
          <w:rtl/>
        </w:rPr>
        <w:t xml:space="preserve">1. </w:t>
      </w:r>
      <w:r w:rsidR="00D66BA4" w:rsidRPr="00933869">
        <w:rPr>
          <w:b/>
          <w:bCs/>
          <w:rtl/>
        </w:rPr>
        <w:t>בהבנת השאלה אם סימנים דאורייתא</w:t>
      </w:r>
      <w:r w:rsidR="00933869">
        <w:rPr>
          <w:rtl/>
        </w:rPr>
        <w:t xml:space="preserve"> - </w:t>
      </w:r>
      <w:r w:rsidR="00D66BA4">
        <w:rPr>
          <w:rtl/>
        </w:rPr>
        <w:t xml:space="preserve">אם נבין כשיטת </w:t>
      </w:r>
      <w:proofErr w:type="spellStart"/>
      <w:r w:rsidR="00D66BA4">
        <w:rPr>
          <w:rtl/>
        </w:rPr>
        <w:t>הראב"ד</w:t>
      </w:r>
      <w:proofErr w:type="spellEnd"/>
      <w:r w:rsidR="00D66BA4">
        <w:rPr>
          <w:rtl/>
        </w:rPr>
        <w:t>, שאין הבדל מהותי בין סוגי הסימנים, השאלה היא רק איזו רמה של סימנים נדרשת, ואין כאן שאלה עקרונית על יחסנו לסימנים. ברם, לפי שיטת רש"י, שסימנים מובהקים הם בגדר עדות, השאלה אם סימנים דאורייתא היא שאלה עקרונית: האם אנו מסתמכים רק על עדות - שהיא ראיה מוחצת וסופית - או שמא אנו מסתפקים אף בבירורים שאינם מוחלטים?</w:t>
      </w:r>
    </w:p>
    <w:p w:rsidR="00933869" w:rsidRDefault="00D66BA4" w:rsidP="00933869">
      <w:pPr>
        <w:rPr>
          <w:rtl/>
        </w:rPr>
      </w:pPr>
      <w:r w:rsidRPr="00933869">
        <w:rPr>
          <w:b/>
          <w:bCs/>
          <w:rtl/>
        </w:rPr>
        <w:t>2. השבת אבדה לרמאי</w:t>
      </w:r>
      <w:r>
        <w:rPr>
          <w:rtl/>
        </w:rPr>
        <w:t xml:space="preserve"> </w:t>
      </w:r>
      <w:r w:rsidR="00933869">
        <w:rPr>
          <w:rtl/>
        </w:rPr>
        <w:t xml:space="preserve">- </w:t>
      </w:r>
      <w:r>
        <w:rPr>
          <w:rtl/>
        </w:rPr>
        <w:t xml:space="preserve">הרמב"ם כותב: </w:t>
      </w:r>
    </w:p>
    <w:p w:rsidR="00D66BA4" w:rsidRDefault="00D66BA4" w:rsidP="00933869">
      <w:pPr>
        <w:pStyle w:val="a0"/>
        <w:rPr>
          <w:rtl/>
        </w:rPr>
      </w:pPr>
      <w:r>
        <w:rPr>
          <w:rtl/>
        </w:rPr>
        <w:t xml:space="preserve">"בא בעל האבדה ונתן סימנים שאינן </w:t>
      </w:r>
      <w:proofErr w:type="spellStart"/>
      <w:r>
        <w:rPr>
          <w:rtl/>
        </w:rPr>
        <w:t>מובהקין</w:t>
      </w:r>
      <w:proofErr w:type="spellEnd"/>
      <w:r>
        <w:rPr>
          <w:rtl/>
        </w:rPr>
        <w:t xml:space="preserve">, אין </w:t>
      </w:r>
      <w:proofErr w:type="spellStart"/>
      <w:r>
        <w:rPr>
          <w:rtl/>
        </w:rPr>
        <w:t>מחזירין</w:t>
      </w:r>
      <w:proofErr w:type="spellEnd"/>
      <w:r>
        <w:rPr>
          <w:rtl/>
        </w:rPr>
        <w:t xml:space="preserve"> לו עד שיאמר בסימנים </w:t>
      </w:r>
      <w:proofErr w:type="spellStart"/>
      <w:r>
        <w:rPr>
          <w:rtl/>
        </w:rPr>
        <w:t>מובהקין</w:t>
      </w:r>
      <w:proofErr w:type="spellEnd"/>
      <w:r>
        <w:rPr>
          <w:rtl/>
        </w:rPr>
        <w:t xml:space="preserve">. והרמאי, אף על פי שאמר סימנים </w:t>
      </w:r>
      <w:proofErr w:type="spellStart"/>
      <w:r>
        <w:rPr>
          <w:rtl/>
        </w:rPr>
        <w:t>מובהקין</w:t>
      </w:r>
      <w:proofErr w:type="spellEnd"/>
      <w:r>
        <w:rPr>
          <w:rtl/>
        </w:rPr>
        <w:t xml:space="preserve">, אין </w:t>
      </w:r>
      <w:proofErr w:type="spellStart"/>
      <w:r>
        <w:rPr>
          <w:rtl/>
        </w:rPr>
        <w:t>מחזירין</w:t>
      </w:r>
      <w:proofErr w:type="spellEnd"/>
      <w:r>
        <w:rPr>
          <w:rtl/>
        </w:rPr>
        <w:t xml:space="preserve"> לו עד שיביא עדים שהיא שלו. [השגת </w:t>
      </w:r>
      <w:proofErr w:type="spellStart"/>
      <w:r>
        <w:rPr>
          <w:rtl/>
        </w:rPr>
        <w:t>הראב"ד</w:t>
      </w:r>
      <w:proofErr w:type="spellEnd"/>
      <w:r>
        <w:rPr>
          <w:rtl/>
        </w:rPr>
        <w:t xml:space="preserve"> - </w:t>
      </w:r>
      <w:r>
        <w:rPr>
          <w:rtl/>
        </w:rPr>
        <w:lastRenderedPageBreak/>
        <w:t xml:space="preserve">והרמאי, אף על פי שאמר סימנים </w:t>
      </w:r>
      <w:proofErr w:type="spellStart"/>
      <w:r>
        <w:rPr>
          <w:rtl/>
        </w:rPr>
        <w:t>מובהקין</w:t>
      </w:r>
      <w:proofErr w:type="spellEnd"/>
      <w:r>
        <w:rPr>
          <w:rtl/>
        </w:rPr>
        <w:t xml:space="preserve"> אין </w:t>
      </w:r>
      <w:proofErr w:type="spellStart"/>
      <w:r>
        <w:rPr>
          <w:rtl/>
        </w:rPr>
        <w:t>מחזירין</w:t>
      </w:r>
      <w:proofErr w:type="spellEnd"/>
      <w:r>
        <w:rPr>
          <w:rtl/>
        </w:rPr>
        <w:t xml:space="preserve"> לו עד שיביא עדים שהיא שלו - א"א: סימן מובהק לגמרי.] אמרו חכמים: 'והיה עמך עד דרוש אחיך' (דברים כ"ב, ב) - עד שתחקור אחר אחיך אם רמאי הוא אם לאו"</w:t>
      </w:r>
      <w:r w:rsidR="00933869">
        <w:rPr>
          <w:rtl/>
        </w:rPr>
        <w:tab/>
        <w:t xml:space="preserve">(גזלה ואבדה </w:t>
      </w:r>
      <w:proofErr w:type="spellStart"/>
      <w:r w:rsidR="00933869">
        <w:rPr>
          <w:rtl/>
        </w:rPr>
        <w:t>פי"ג</w:t>
      </w:r>
      <w:proofErr w:type="spellEnd"/>
      <w:r w:rsidR="00933869">
        <w:rPr>
          <w:rtl/>
        </w:rPr>
        <w:t xml:space="preserve"> </w:t>
      </w:r>
      <w:proofErr w:type="spellStart"/>
      <w:r w:rsidR="00933869">
        <w:rPr>
          <w:rtl/>
        </w:rPr>
        <w:t>ה"ג</w:t>
      </w:r>
      <w:proofErr w:type="spellEnd"/>
      <w:r w:rsidR="00933869">
        <w:rPr>
          <w:rtl/>
        </w:rPr>
        <w:t>).</w:t>
      </w:r>
    </w:p>
    <w:p w:rsidR="00D66BA4" w:rsidRDefault="00D66BA4" w:rsidP="00080635">
      <w:pPr>
        <w:rPr>
          <w:rtl/>
        </w:rPr>
      </w:pPr>
      <w:r>
        <w:rPr>
          <w:rtl/>
        </w:rPr>
        <w:t>השאלה בנוגע לאבדת רמאי יכולה אף היא להיתלות בשאלה שהעלינו לגבי דין סימנים מובהקים. אם סימנים מובהקים הם כעדות, אין סיבה שלא להשיב את האבדה לאדם שבא לבקש אותה, ואפילו אם הוא רמאי; כשם שברור כי אם שני עדים יעידו שהחפץ שייך לרמאי נאמין להם, ברור גם כי אם סימנים מובהקים הם כעדות, אין סיבה שלא להשיב את אבדת הרמאי על פי סימנים מובהקים. לעומת זאת, אם אפילו סימנים מובהקים אינם עדות אלא רק בירור מסוים, אזי אפשר שהבירור הזה מבוסס אף על הנאמנות של מבקש האבדה, ולא רק על האפשרות ההסתברותית שהחפץ המזוהה על פי סימנים הוא החפץ המבוקש, ולכן אי אפשר להשיב אבדה לרמאי - שאין לו המרכיב הבסיסי של נאמנות.</w:t>
      </w:r>
    </w:p>
    <w:p w:rsidR="00D66BA4" w:rsidRDefault="00D66BA4" w:rsidP="00080635">
      <w:pPr>
        <w:rPr>
          <w:rtl/>
        </w:rPr>
      </w:pPr>
      <w:r w:rsidRPr="00933869">
        <w:rPr>
          <w:b/>
          <w:bCs/>
          <w:rtl/>
        </w:rPr>
        <w:t>3. התנגשות בין ראיות שונות</w:t>
      </w:r>
      <w:r>
        <w:rPr>
          <w:rtl/>
        </w:rPr>
        <w:t xml:space="preserve"> - הגמרא </w:t>
      </w:r>
      <w:proofErr w:type="spellStart"/>
      <w:r>
        <w:rPr>
          <w:rtl/>
        </w:rPr>
        <w:t>בבבא</w:t>
      </w:r>
      <w:proofErr w:type="spellEnd"/>
      <w:r>
        <w:rPr>
          <w:rtl/>
        </w:rPr>
        <w:t xml:space="preserve"> מציעא </w:t>
      </w:r>
      <w:proofErr w:type="spellStart"/>
      <w:r>
        <w:rPr>
          <w:rtl/>
        </w:rPr>
        <w:t>כח</w:t>
      </w:r>
      <w:proofErr w:type="spellEnd"/>
      <w:r>
        <w:rPr>
          <w:rtl/>
        </w:rPr>
        <w:t>. דנה במקרים כאלה, ופוסקת כי באופן עקרוני זוכה בחפץ מי שמביא הוכחה טובה יותר. מה יהיה הדין אם צד אחד מביא סימנים מובהקים ואילו הצד השני מביא סימנים שאינם מובהקים? אפשר ששאלה זו תלויה גם היא בחקירה הנ"ל: אם סימנים מובהקים הם בגדר עדות, הם יגברו על סימנים שאינם מובהקים; אולם אם סימנים מובהקים הם באותו מישור ובאותה קטגוריה עם סימנים שאינם מובהקים - הגם שברמה גבוהה יותר - אפשר שהם לא יגברו על סימנים רגילים.</w:t>
      </w:r>
    </w:p>
    <w:p w:rsidR="00933869" w:rsidRDefault="00D66BA4" w:rsidP="00080635">
      <w:pPr>
        <w:rPr>
          <w:rtl/>
        </w:rPr>
      </w:pPr>
      <w:r>
        <w:rPr>
          <w:rtl/>
        </w:rPr>
        <w:t xml:space="preserve">לשאלה זו התייחס בעל השיטה מקובצת (שם): </w:t>
      </w:r>
    </w:p>
    <w:p w:rsidR="00933869" w:rsidRDefault="00D66BA4" w:rsidP="00933869">
      <w:pPr>
        <w:pStyle w:val="a0"/>
        <w:rPr>
          <w:rtl/>
        </w:rPr>
      </w:pPr>
      <w:r>
        <w:rPr>
          <w:rtl/>
        </w:rPr>
        <w:t xml:space="preserve">"הלכתא: אם יבאו שני בני אדם, אחד </w:t>
      </w:r>
      <w:proofErr w:type="spellStart"/>
      <w:r>
        <w:rPr>
          <w:rtl/>
        </w:rPr>
        <w:t>יתן</w:t>
      </w:r>
      <w:proofErr w:type="spellEnd"/>
      <w:r>
        <w:rPr>
          <w:rtl/>
        </w:rPr>
        <w:t xml:space="preserve"> באבדה סימן מובהק, והשני - סימן שאינו מובהק, לא </w:t>
      </w:r>
      <w:proofErr w:type="spellStart"/>
      <w:r>
        <w:rPr>
          <w:rtl/>
        </w:rPr>
        <w:t>אמרינן</w:t>
      </w:r>
      <w:proofErr w:type="spellEnd"/>
      <w:r>
        <w:rPr>
          <w:rtl/>
        </w:rPr>
        <w:t xml:space="preserve"> </w:t>
      </w:r>
      <w:proofErr w:type="spellStart"/>
      <w:r>
        <w:rPr>
          <w:rtl/>
        </w:rPr>
        <w:t>תנתן</w:t>
      </w:r>
      <w:proofErr w:type="spellEnd"/>
      <w:r>
        <w:rPr>
          <w:rtl/>
        </w:rPr>
        <w:t xml:space="preserve"> לאומר סימן מובהק. </w:t>
      </w:r>
      <w:proofErr w:type="spellStart"/>
      <w:r>
        <w:rPr>
          <w:rtl/>
        </w:rPr>
        <w:t>דכיון</w:t>
      </w:r>
      <w:proofErr w:type="spellEnd"/>
      <w:r>
        <w:rPr>
          <w:rtl/>
        </w:rPr>
        <w:t xml:space="preserve"> </w:t>
      </w:r>
      <w:proofErr w:type="spellStart"/>
      <w:r>
        <w:rPr>
          <w:rtl/>
        </w:rPr>
        <w:t>דחזינן</w:t>
      </w:r>
      <w:proofErr w:type="spellEnd"/>
      <w:r>
        <w:rPr>
          <w:rtl/>
        </w:rPr>
        <w:t xml:space="preserve"> מקראי החזרת אבדה בסימן שאינו מובהק, </w:t>
      </w:r>
      <w:proofErr w:type="spellStart"/>
      <w:r>
        <w:rPr>
          <w:rtl/>
        </w:rPr>
        <w:t>אשתכח</w:t>
      </w:r>
      <w:proofErr w:type="spellEnd"/>
      <w:r>
        <w:rPr>
          <w:rtl/>
        </w:rPr>
        <w:t xml:space="preserve"> </w:t>
      </w:r>
      <w:proofErr w:type="spellStart"/>
      <w:r>
        <w:rPr>
          <w:rtl/>
        </w:rPr>
        <w:t>דשקולין</w:t>
      </w:r>
      <w:proofErr w:type="spellEnd"/>
      <w:r>
        <w:rPr>
          <w:rtl/>
        </w:rPr>
        <w:t xml:space="preserve"> הן סימן מובהק וסימן שאינו מובהק, ולא </w:t>
      </w:r>
      <w:proofErr w:type="spellStart"/>
      <w:r>
        <w:rPr>
          <w:rtl/>
        </w:rPr>
        <w:t>יתן</w:t>
      </w:r>
      <w:proofErr w:type="spellEnd"/>
      <w:r>
        <w:rPr>
          <w:rtl/>
        </w:rPr>
        <w:t xml:space="preserve"> לא לזה ולא לזה. שאם לא </w:t>
      </w:r>
      <w:proofErr w:type="spellStart"/>
      <w:r>
        <w:rPr>
          <w:rtl/>
        </w:rPr>
        <w:t>היתה</w:t>
      </w:r>
      <w:proofErr w:type="spellEnd"/>
      <w:r>
        <w:rPr>
          <w:rtl/>
        </w:rPr>
        <w:t xml:space="preserve"> חזרת אבדה בסימן שאינו מובהק אלא מדרבנן, אם היו שנים </w:t>
      </w:r>
      <w:proofErr w:type="spellStart"/>
      <w:r>
        <w:rPr>
          <w:rtl/>
        </w:rPr>
        <w:t>כענין</w:t>
      </w:r>
      <w:proofErr w:type="spellEnd"/>
      <w:r>
        <w:rPr>
          <w:rtl/>
        </w:rPr>
        <w:t xml:space="preserve"> זה שהזכרנו, היינו נותנים אותה לאומר סימן מובהק, </w:t>
      </w:r>
      <w:proofErr w:type="spellStart"/>
      <w:r>
        <w:rPr>
          <w:rtl/>
        </w:rPr>
        <w:t>דהא</w:t>
      </w:r>
      <w:proofErr w:type="spellEnd"/>
      <w:r>
        <w:rPr>
          <w:rtl/>
        </w:rPr>
        <w:t xml:space="preserve"> דאורייתא והא דרבנן". </w:t>
      </w:r>
    </w:p>
    <w:p w:rsidR="00D66BA4" w:rsidRDefault="00D66BA4" w:rsidP="00080635">
      <w:pPr>
        <w:rPr>
          <w:rtl/>
        </w:rPr>
      </w:pPr>
      <w:r>
        <w:rPr>
          <w:rtl/>
        </w:rPr>
        <w:t>השיטה מקובצת מסיק שאין הפרש בין סימנים מובהקים לסימנים שאינם מובהקים במידה שאלו יגברו על אלו, שכן עקרונית הם עומדים על אותה דרגה בסולם ההוכחות.</w:t>
      </w:r>
    </w:p>
    <w:p w:rsidR="00933869" w:rsidRDefault="00933869" w:rsidP="00933869">
      <w:pPr>
        <w:pStyle w:val="2"/>
        <w:rPr>
          <w:rtl/>
        </w:rPr>
      </w:pPr>
      <w:r>
        <w:rPr>
          <w:rtl/>
        </w:rPr>
        <w:t>סיכום</w:t>
      </w:r>
    </w:p>
    <w:p w:rsidR="00D66BA4" w:rsidRDefault="00D66BA4" w:rsidP="00080635">
      <w:r>
        <w:rPr>
          <w:rtl/>
        </w:rPr>
        <w:t>ראינו שלגבי סימנים מובהקים יש קונצנזוס שהם מועילים אף אם סימנים אינם דאורייתא, וחקרנו האם זה רק משום שהם סימנים ברמה גבוהה יותר, או שמא יש הבדל עקרוני בין סוגי הסימנים, וסימן מובהק הוא בגדר עדות ולא בגדר סימן. ראינו שיש לשאלה זו נפקא מינות לעניין שאלות שונות העולות ביחס להשבת אבדה בסימנים.</w:t>
      </w:r>
    </w:p>
    <w:p w:rsidR="00D23132" w:rsidRPr="00D23132" w:rsidRDefault="00D23132" w:rsidP="00D23132">
      <w:pPr>
        <w:pStyle w:val="a3"/>
        <w:keepNext w:val="0"/>
        <w:widowControl w:val="0"/>
        <w:jc w:val="right"/>
        <w:rPr>
          <w:sz w:val="20"/>
          <w:szCs w:val="20"/>
          <w:rtl/>
        </w:rPr>
      </w:pPr>
    </w:p>
    <w:p w:rsidR="00D23132" w:rsidRPr="00C53C31" w:rsidRDefault="00C53C31" w:rsidP="00C53C31">
      <w:pPr>
        <w:pStyle w:val="a3"/>
        <w:keepNext w:val="0"/>
        <w:widowControl w:val="0"/>
        <w:rPr>
          <w:rFonts w:cs="Narkisim"/>
          <w:sz w:val="22"/>
          <w:szCs w:val="22"/>
          <w:rtl/>
        </w:rPr>
      </w:pPr>
      <w:r w:rsidRPr="00C53C31">
        <w:rPr>
          <w:rFonts w:cs="Narkisim"/>
          <w:sz w:val="22"/>
          <w:szCs w:val="22"/>
          <w:rtl/>
        </w:rPr>
        <w:t xml:space="preserve">לשיעור הבא: גיטין </w:t>
      </w:r>
      <w:proofErr w:type="spellStart"/>
      <w:r w:rsidRPr="00C53C31">
        <w:rPr>
          <w:rFonts w:cs="Narkisim"/>
          <w:sz w:val="22"/>
          <w:szCs w:val="22"/>
          <w:rtl/>
        </w:rPr>
        <w:t>כח</w:t>
      </w:r>
      <w:proofErr w:type="spellEnd"/>
      <w:r w:rsidRPr="00C53C31">
        <w:rPr>
          <w:rFonts w:cs="Narkisim"/>
          <w:sz w:val="22"/>
          <w:szCs w:val="22"/>
          <w:rtl/>
        </w:rPr>
        <w:t>.</w:t>
      </w:r>
      <w:r w:rsidRPr="00C53C31">
        <w:rPr>
          <w:rFonts w:cs="Narkisim"/>
          <w:sz w:val="22"/>
          <w:szCs w:val="22"/>
        </w:rPr>
        <w:t xml:space="preserve"> - </w:t>
      </w:r>
      <w:r w:rsidRPr="00C53C31">
        <w:rPr>
          <w:rFonts w:cs="Narkisim"/>
          <w:sz w:val="22"/>
          <w:szCs w:val="22"/>
          <w:rtl/>
        </w:rPr>
        <w:t>חזקת חיים</w:t>
      </w:r>
    </w:p>
    <w:p w:rsidR="00D23132" w:rsidRPr="00C53C31" w:rsidRDefault="00C53C31" w:rsidP="00C53C31">
      <w:pPr>
        <w:pStyle w:val="a1"/>
        <w:keepNext w:val="0"/>
        <w:widowControl w:val="0"/>
        <w:spacing w:before="0" w:after="0"/>
        <w:jc w:val="both"/>
        <w:rPr>
          <w:rFonts w:cs="Narkisim"/>
          <w:sz w:val="22"/>
          <w:szCs w:val="22"/>
        </w:rPr>
      </w:pPr>
      <w:r w:rsidRPr="00C53C31">
        <w:rPr>
          <w:rFonts w:cs="Narkisim"/>
          <w:sz w:val="22"/>
          <w:szCs w:val="22"/>
          <w:rtl/>
        </w:rPr>
        <w:t>הרב יוסף צבי רימון</w:t>
      </w:r>
      <w:r w:rsidRPr="00C53C31">
        <w:rPr>
          <w:rFonts w:cs="Narkisim"/>
          <w:sz w:val="22"/>
          <w:szCs w:val="22"/>
          <w:rtl/>
        </w:rPr>
        <w:t xml:space="preserve"> </w:t>
      </w:r>
    </w:p>
    <w:p w:rsidR="00D23132" w:rsidRPr="00C53C31" w:rsidRDefault="00D23132" w:rsidP="00D23132">
      <w:pPr>
        <w:pStyle w:val="a1"/>
        <w:keepNext w:val="0"/>
        <w:widowControl w:val="0"/>
        <w:spacing w:before="0" w:after="0"/>
        <w:jc w:val="both"/>
        <w:rPr>
          <w:rFonts w:cs="Narkisim"/>
          <w:sz w:val="22"/>
          <w:szCs w:val="22"/>
          <w:rtl/>
        </w:rPr>
      </w:pPr>
    </w:p>
    <w:p w:rsidR="00D23132" w:rsidRPr="00C53C31" w:rsidRDefault="00D23132" w:rsidP="00D23132">
      <w:pPr>
        <w:pStyle w:val="2"/>
        <w:keepNext w:val="0"/>
        <w:widowControl w:val="0"/>
        <w:spacing w:before="0" w:afterLines="60" w:after="144"/>
        <w:jc w:val="both"/>
        <w:rPr>
          <w:rFonts w:cs="Narkisim"/>
          <w:sz w:val="22"/>
          <w:szCs w:val="22"/>
          <w:rtl/>
        </w:rPr>
      </w:pPr>
      <w:r w:rsidRPr="00C53C31">
        <w:rPr>
          <w:rFonts w:cs="Narkisim"/>
          <w:sz w:val="22"/>
          <w:szCs w:val="22"/>
          <w:rtl/>
        </w:rPr>
        <w:t>מקורות</w:t>
      </w:r>
    </w:p>
    <w:p w:rsidR="00D23132" w:rsidRPr="00C53C31" w:rsidRDefault="00D23132" w:rsidP="00D23132">
      <w:pPr>
        <w:widowControl w:val="0"/>
        <w:spacing w:afterLines="60" w:after="144" w:line="240" w:lineRule="auto"/>
        <w:rPr>
          <w:sz w:val="22"/>
          <w:rtl/>
        </w:rPr>
      </w:pPr>
      <w:r w:rsidRPr="00C53C31">
        <w:rPr>
          <w:sz w:val="22"/>
          <w:rtl/>
        </w:rPr>
        <w:t xml:space="preserve">א. סוגייתנו - גיטין </w:t>
      </w:r>
      <w:proofErr w:type="spellStart"/>
      <w:r w:rsidRPr="00C53C31">
        <w:rPr>
          <w:sz w:val="22"/>
          <w:rtl/>
        </w:rPr>
        <w:t>כח</w:t>
      </w:r>
      <w:proofErr w:type="spellEnd"/>
      <w:r w:rsidRPr="00C53C31">
        <w:rPr>
          <w:sz w:val="22"/>
          <w:rtl/>
        </w:rPr>
        <w:t>., ממ</w:t>
      </w:r>
      <w:bookmarkStart w:id="0" w:name="_GoBack"/>
      <w:bookmarkEnd w:id="0"/>
      <w:r w:rsidRPr="00C53C31">
        <w:rPr>
          <w:sz w:val="22"/>
          <w:rtl/>
        </w:rPr>
        <w:t>שנה עד משנה.</w:t>
      </w:r>
    </w:p>
    <w:p w:rsidR="00D23132" w:rsidRPr="00C53C31" w:rsidRDefault="00D23132" w:rsidP="00D23132">
      <w:pPr>
        <w:widowControl w:val="0"/>
        <w:spacing w:after="60" w:line="240" w:lineRule="auto"/>
        <w:ind w:left="210" w:hanging="210"/>
        <w:rPr>
          <w:sz w:val="22"/>
          <w:rtl/>
        </w:rPr>
      </w:pPr>
      <w:r w:rsidRPr="00C53C31">
        <w:rPr>
          <w:sz w:val="22"/>
          <w:rtl/>
        </w:rPr>
        <w:t xml:space="preserve">ב. מתי סומכים על חזקת חיים? תוספות ד"ה והניחו; תוספות בבא מציעא לט: ד"ה </w:t>
      </w:r>
      <w:proofErr w:type="spellStart"/>
      <w:r w:rsidRPr="00C53C31">
        <w:rPr>
          <w:sz w:val="22"/>
          <w:rtl/>
        </w:rPr>
        <w:t>דלמא</w:t>
      </w:r>
      <w:proofErr w:type="spellEnd"/>
      <w:r w:rsidRPr="00C53C31">
        <w:rPr>
          <w:sz w:val="22"/>
          <w:rtl/>
        </w:rPr>
        <w:t>.</w:t>
      </w:r>
    </w:p>
    <w:p w:rsidR="00D23132" w:rsidRPr="00C53C31" w:rsidRDefault="00D23132" w:rsidP="00D23132">
      <w:pPr>
        <w:widowControl w:val="0"/>
        <w:spacing w:after="60" w:line="240" w:lineRule="auto"/>
        <w:ind w:left="210" w:hanging="210"/>
        <w:rPr>
          <w:sz w:val="22"/>
          <w:rtl/>
        </w:rPr>
      </w:pPr>
      <w:r w:rsidRPr="00C53C31">
        <w:rPr>
          <w:sz w:val="22"/>
          <w:rtl/>
        </w:rPr>
        <w:t>ג. האם יש מי שסובר שאין כלל חזקת חיים? תוספות ד"ה הא רבי מאיר. תוספות ד"ה תרומה; פני יהושע ד"ה א"ל תרומה (עד "ודעתי להוסיף אי"ה בקונטרס הכללים שלי").</w:t>
      </w:r>
    </w:p>
    <w:p w:rsidR="00D23132" w:rsidRPr="00C53C31" w:rsidRDefault="00D23132" w:rsidP="00D23132">
      <w:pPr>
        <w:widowControl w:val="0"/>
        <w:spacing w:after="60" w:line="240" w:lineRule="auto"/>
        <w:ind w:left="210" w:hanging="210"/>
        <w:rPr>
          <w:sz w:val="22"/>
          <w:rtl/>
        </w:rPr>
      </w:pPr>
      <w:r w:rsidRPr="00C53C31">
        <w:rPr>
          <w:sz w:val="22"/>
          <w:rtl/>
        </w:rPr>
        <w:t xml:space="preserve">ד. חזקת חי לעומת חזקת איסור שבאישה: תוספות כתובות </w:t>
      </w:r>
      <w:proofErr w:type="spellStart"/>
      <w:r w:rsidRPr="00C53C31">
        <w:rPr>
          <w:sz w:val="22"/>
          <w:rtl/>
        </w:rPr>
        <w:t>כג</w:t>
      </w:r>
      <w:proofErr w:type="spellEnd"/>
      <w:r w:rsidRPr="00C53C31">
        <w:rPr>
          <w:sz w:val="22"/>
          <w:rtl/>
        </w:rPr>
        <w:t xml:space="preserve">. ד"ה </w:t>
      </w:r>
      <w:proofErr w:type="spellStart"/>
      <w:r w:rsidRPr="00C53C31">
        <w:rPr>
          <w:sz w:val="22"/>
          <w:rtl/>
        </w:rPr>
        <w:t>תרווייהו</w:t>
      </w:r>
      <w:proofErr w:type="spellEnd"/>
      <w:r w:rsidRPr="00C53C31">
        <w:rPr>
          <w:sz w:val="22"/>
          <w:rtl/>
        </w:rPr>
        <w:t xml:space="preserve"> (בגמרא שם שורה 2 "עד אחד אומר... בפנויה </w:t>
      </w:r>
      <w:proofErr w:type="spellStart"/>
      <w:r w:rsidRPr="00C53C31">
        <w:rPr>
          <w:sz w:val="22"/>
          <w:rtl/>
        </w:rPr>
        <w:t>קמסהדי</w:t>
      </w:r>
      <w:proofErr w:type="spellEnd"/>
      <w:r w:rsidRPr="00C53C31">
        <w:rPr>
          <w:sz w:val="22"/>
          <w:rtl/>
        </w:rPr>
        <w:t xml:space="preserve">"); פני יהושע הנ"ל [ההמשך "וכן מוכח </w:t>
      </w:r>
      <w:proofErr w:type="spellStart"/>
      <w:r w:rsidRPr="00C53C31">
        <w:rPr>
          <w:sz w:val="22"/>
          <w:rtl/>
        </w:rPr>
        <w:t>להדיא</w:t>
      </w:r>
      <w:proofErr w:type="spellEnd"/>
      <w:r w:rsidRPr="00C53C31">
        <w:rPr>
          <w:sz w:val="22"/>
          <w:rtl/>
        </w:rPr>
        <w:t xml:space="preserve"> מהא </w:t>
      </w:r>
      <w:proofErr w:type="spellStart"/>
      <w:r w:rsidRPr="00C53C31">
        <w:rPr>
          <w:sz w:val="22"/>
          <w:rtl/>
        </w:rPr>
        <w:t>דאמרינן</w:t>
      </w:r>
      <w:proofErr w:type="spellEnd"/>
      <w:r w:rsidRPr="00C53C31">
        <w:rPr>
          <w:sz w:val="22"/>
          <w:rtl/>
        </w:rPr>
        <w:t xml:space="preserve"> ביבמות"]; [שערי יושר, שער החזקות, פרק ט, ד"ה ונראה לענ"ד לתרץ, עד "גם הדברים </w:t>
      </w:r>
      <w:proofErr w:type="spellStart"/>
      <w:r w:rsidRPr="00C53C31">
        <w:rPr>
          <w:sz w:val="22"/>
          <w:rtl/>
        </w:rPr>
        <w:t>המתילדים</w:t>
      </w:r>
      <w:proofErr w:type="spellEnd"/>
      <w:r w:rsidRPr="00C53C31">
        <w:rPr>
          <w:sz w:val="22"/>
          <w:rtl/>
        </w:rPr>
        <w:t xml:space="preserve"> ממנו הם בדין ספק" (ניתן לראות גם את </w:t>
      </w:r>
      <w:proofErr w:type="spellStart"/>
      <w:r w:rsidRPr="00C53C31">
        <w:rPr>
          <w:sz w:val="22"/>
          <w:rtl/>
        </w:rPr>
        <w:t>הד"ה</w:t>
      </w:r>
      <w:proofErr w:type="spellEnd"/>
      <w:r w:rsidRPr="00C53C31">
        <w:rPr>
          <w:sz w:val="22"/>
          <w:rtl/>
        </w:rPr>
        <w:t xml:space="preserve"> הבא).]</w:t>
      </w:r>
    </w:p>
    <w:p w:rsidR="00D23132" w:rsidRPr="00C53C31" w:rsidRDefault="00D23132" w:rsidP="00D23132">
      <w:pPr>
        <w:widowControl w:val="0"/>
        <w:spacing w:after="60" w:line="240" w:lineRule="auto"/>
        <w:ind w:left="210" w:hanging="210"/>
        <w:rPr>
          <w:sz w:val="22"/>
          <w:rtl/>
        </w:rPr>
      </w:pPr>
      <w:r w:rsidRPr="00C53C31">
        <w:rPr>
          <w:sz w:val="22"/>
          <w:rtl/>
        </w:rPr>
        <w:t xml:space="preserve">ה. שעה אחת קודם מיתתו - תוספות ד"ה שאני; [שערי יושר, שער החזקות פרק ח, ד"ה </w:t>
      </w:r>
      <w:proofErr w:type="spellStart"/>
      <w:r w:rsidRPr="00C53C31">
        <w:rPr>
          <w:sz w:val="22"/>
          <w:rtl/>
        </w:rPr>
        <w:t>גרסינן</w:t>
      </w:r>
      <w:proofErr w:type="spellEnd"/>
      <w:r w:rsidRPr="00C53C31">
        <w:rPr>
          <w:sz w:val="22"/>
          <w:rtl/>
        </w:rPr>
        <w:t xml:space="preserve">, אמנם, ע"כ </w:t>
      </w:r>
      <w:proofErr w:type="spellStart"/>
      <w:r w:rsidRPr="00C53C31">
        <w:rPr>
          <w:sz w:val="22"/>
          <w:rtl/>
        </w:rPr>
        <w:t>נלענ"ד</w:t>
      </w:r>
      <w:proofErr w:type="spellEnd"/>
      <w:r w:rsidRPr="00C53C31">
        <w:rPr>
          <w:sz w:val="22"/>
          <w:rtl/>
        </w:rPr>
        <w:t>.]</w:t>
      </w:r>
    </w:p>
    <w:p w:rsidR="00D23132" w:rsidRPr="00C53C31" w:rsidRDefault="00D23132" w:rsidP="00D23132">
      <w:pPr>
        <w:widowControl w:val="0"/>
        <w:spacing w:after="60" w:line="240" w:lineRule="auto"/>
        <w:ind w:left="210" w:hanging="210"/>
        <w:rPr>
          <w:sz w:val="22"/>
        </w:rPr>
      </w:pPr>
      <w:r w:rsidRPr="00C53C31">
        <w:rPr>
          <w:sz w:val="22"/>
          <w:rtl/>
        </w:rPr>
        <w:t xml:space="preserve">ו. שמא מת לא </w:t>
      </w:r>
      <w:proofErr w:type="spellStart"/>
      <w:r w:rsidRPr="00C53C31">
        <w:rPr>
          <w:sz w:val="22"/>
          <w:rtl/>
        </w:rPr>
        <w:t>חיישינן</w:t>
      </w:r>
      <w:proofErr w:type="spellEnd"/>
      <w:r w:rsidRPr="00C53C31">
        <w:rPr>
          <w:sz w:val="22"/>
          <w:rtl/>
        </w:rPr>
        <w:t xml:space="preserve">, שמא ימות </w:t>
      </w:r>
      <w:proofErr w:type="spellStart"/>
      <w:r w:rsidRPr="00C53C31">
        <w:rPr>
          <w:sz w:val="22"/>
          <w:rtl/>
        </w:rPr>
        <w:t>חיישינן</w:t>
      </w:r>
      <w:proofErr w:type="spellEnd"/>
      <w:r w:rsidRPr="00C53C31">
        <w:rPr>
          <w:sz w:val="22"/>
          <w:rtl/>
        </w:rPr>
        <w:t xml:space="preserve"> - רבנו </w:t>
      </w:r>
      <w:proofErr w:type="spellStart"/>
      <w:r w:rsidRPr="00C53C31">
        <w:rPr>
          <w:sz w:val="22"/>
          <w:rtl/>
        </w:rPr>
        <w:t>קרשקש</w:t>
      </w:r>
      <w:proofErr w:type="spellEnd"/>
      <w:r w:rsidRPr="00C53C31">
        <w:rPr>
          <w:sz w:val="22"/>
          <w:rtl/>
        </w:rPr>
        <w:t xml:space="preserve"> ד"ה שמא ימות; תוספות קידושין מה: ד"ה בפירוש, מ"ומעשה אירע"; שו"ת נודע ביהודה, יורה דעה קמא, סימן נ"ו, עד "ולכן </w:t>
      </w:r>
      <w:proofErr w:type="spellStart"/>
      <w:r w:rsidRPr="00C53C31">
        <w:rPr>
          <w:sz w:val="22"/>
          <w:rtl/>
        </w:rPr>
        <w:t>חייש</w:t>
      </w:r>
      <w:proofErr w:type="spellEnd"/>
      <w:r w:rsidRPr="00C53C31">
        <w:rPr>
          <w:sz w:val="22"/>
          <w:rtl/>
        </w:rPr>
        <w:t xml:space="preserve"> </w:t>
      </w:r>
      <w:proofErr w:type="spellStart"/>
      <w:r w:rsidRPr="00C53C31">
        <w:rPr>
          <w:sz w:val="22"/>
          <w:rtl/>
        </w:rPr>
        <w:t>הר"ר</w:t>
      </w:r>
      <w:proofErr w:type="spellEnd"/>
      <w:r w:rsidRPr="00C53C31">
        <w:rPr>
          <w:sz w:val="22"/>
          <w:rtl/>
        </w:rPr>
        <w:t xml:space="preserve"> מנחם שמא יקבל בה אביה </w:t>
      </w:r>
      <w:proofErr w:type="spellStart"/>
      <w:r w:rsidRPr="00C53C31">
        <w:rPr>
          <w:sz w:val="22"/>
          <w:rtl/>
        </w:rPr>
        <w:t>קדושין</w:t>
      </w:r>
      <w:proofErr w:type="spellEnd"/>
      <w:r w:rsidRPr="00C53C31">
        <w:rPr>
          <w:sz w:val="22"/>
          <w:rtl/>
        </w:rPr>
        <w:t>".</w:t>
      </w:r>
    </w:p>
    <w:p w:rsidR="00D23132" w:rsidRPr="00C53C31" w:rsidRDefault="00D23132" w:rsidP="00D23132">
      <w:pPr>
        <w:widowControl w:val="0"/>
        <w:spacing w:after="0" w:line="240" w:lineRule="auto"/>
        <w:ind w:left="210" w:hanging="210"/>
        <w:rPr>
          <w:sz w:val="22"/>
          <w:rtl/>
        </w:rPr>
      </w:pPr>
    </w:p>
    <w:p w:rsidR="00D23132" w:rsidRPr="00C53C31" w:rsidRDefault="00D23132" w:rsidP="00D23132">
      <w:pPr>
        <w:pStyle w:val="2"/>
        <w:keepNext w:val="0"/>
        <w:widowControl w:val="0"/>
        <w:spacing w:before="0"/>
        <w:jc w:val="both"/>
        <w:rPr>
          <w:rFonts w:cs="Narkisim"/>
          <w:sz w:val="22"/>
          <w:szCs w:val="22"/>
          <w:rtl/>
        </w:rPr>
      </w:pPr>
      <w:r w:rsidRPr="00C53C31">
        <w:rPr>
          <w:rFonts w:cs="Narkisim"/>
          <w:sz w:val="22"/>
          <w:szCs w:val="22"/>
          <w:rtl/>
        </w:rPr>
        <w:t>שאלות הכוונה</w:t>
      </w:r>
    </w:p>
    <w:p w:rsidR="00D23132" w:rsidRPr="00C53C31" w:rsidRDefault="00D23132" w:rsidP="00D23132">
      <w:pPr>
        <w:widowControl w:val="0"/>
        <w:spacing w:after="60" w:line="240" w:lineRule="auto"/>
        <w:rPr>
          <w:sz w:val="22"/>
          <w:rtl/>
        </w:rPr>
      </w:pPr>
      <w:r w:rsidRPr="00C53C31">
        <w:rPr>
          <w:sz w:val="22"/>
          <w:rtl/>
        </w:rPr>
        <w:t>סוגייתנו עוסקת בחזקת חיים של אדם: האם אדם שאיננו נמצא לפנינו נחשב הוא בחזקת חי? תחילה יש לדון בהיקף הדין (מתי ניתן לסמוך על חזקת חיים); אחר כך יש לבחון את אופי הדין ואת היחס בין חזקה זו לבין חזקות אחרות המתנגשות עמה. בסוף יש לבחון את יישום הדברים בסוגייתנו (בסוגייתנו מובאת סתירה בין המשנה לברייתא. הגמרא מביאה שלושה תירוצים לסתירה, ויש לבחון כל אחד מהם בהתאם ליסודות הנ"ל).</w:t>
      </w:r>
    </w:p>
    <w:p w:rsidR="00D23132" w:rsidRPr="00D23132" w:rsidRDefault="00D23132" w:rsidP="00D23132">
      <w:pPr>
        <w:widowControl w:val="0"/>
        <w:spacing w:after="0" w:line="240" w:lineRule="auto"/>
        <w:rPr>
          <w:szCs w:val="20"/>
        </w:rPr>
      </w:pPr>
    </w:p>
    <w:p w:rsidR="00D23132" w:rsidRPr="00D23132" w:rsidRDefault="00D23132" w:rsidP="00D23132">
      <w:pPr>
        <w:widowControl w:val="0"/>
        <w:spacing w:after="0" w:line="240" w:lineRule="auto"/>
        <w:rPr>
          <w:szCs w:val="20"/>
        </w:rPr>
      </w:pPr>
    </w:p>
    <w:p w:rsidR="00D23132" w:rsidRPr="00D23132" w:rsidRDefault="00D23132" w:rsidP="00D23132">
      <w:pPr>
        <w:widowControl w:val="0"/>
        <w:spacing w:after="0" w:line="240" w:lineRule="auto"/>
        <w:rPr>
          <w:szCs w:val="20"/>
          <w:rtl/>
        </w:rPr>
      </w:pPr>
    </w:p>
    <w:p w:rsidR="007C1577" w:rsidRPr="00D23132" w:rsidRDefault="007C1577" w:rsidP="00D23132">
      <w:pPr>
        <w:widowControl w:val="0"/>
        <w:spacing w:after="0" w:line="240" w:lineRule="auto"/>
        <w:rPr>
          <w:szCs w:val="20"/>
          <w:rtl/>
        </w:rPr>
      </w:pPr>
    </w:p>
    <w:tbl>
      <w:tblPr>
        <w:bidiVisual/>
        <w:tblW w:w="4678" w:type="dxa"/>
        <w:tblInd w:w="192" w:type="dxa"/>
        <w:tblLayout w:type="fixed"/>
        <w:tblLook w:val="0000" w:firstRow="0" w:lastRow="0" w:firstColumn="0" w:lastColumn="0" w:noHBand="0" w:noVBand="0"/>
      </w:tblPr>
      <w:tblGrid>
        <w:gridCol w:w="283"/>
        <w:gridCol w:w="4111"/>
        <w:gridCol w:w="284"/>
      </w:tblGrid>
      <w:tr w:rsidR="00CA4E9E">
        <w:tc>
          <w:tcPr>
            <w:tcW w:w="283" w:type="dxa"/>
            <w:tcBorders>
              <w:top w:val="nil"/>
              <w:left w:val="nil"/>
              <w:bottom w:val="nil"/>
              <w:right w:val="nil"/>
            </w:tcBorders>
          </w:tcPr>
          <w:p w:rsidR="00CA4E9E" w:rsidRDefault="00CA4E9E" w:rsidP="00F734D6">
            <w:pPr>
              <w:pStyle w:val="a2"/>
              <w:rPr>
                <w:noProof w:val="0"/>
              </w:rPr>
            </w:pPr>
            <w:r>
              <w:rPr>
                <w:noProof w:val="0"/>
                <w:rtl/>
              </w:rPr>
              <w:t>*</w:t>
            </w:r>
          </w:p>
        </w:tc>
        <w:tc>
          <w:tcPr>
            <w:tcW w:w="4111" w:type="dxa"/>
            <w:tcBorders>
              <w:top w:val="nil"/>
              <w:left w:val="nil"/>
              <w:bottom w:val="nil"/>
              <w:right w:val="nil"/>
            </w:tcBorders>
          </w:tcPr>
          <w:p w:rsidR="00CA4E9E" w:rsidRDefault="00CA4E9E" w:rsidP="00F734D6">
            <w:pPr>
              <w:pStyle w:val="a2"/>
              <w:rPr>
                <w:noProof w:val="0"/>
              </w:rPr>
            </w:pPr>
            <w:r>
              <w:rPr>
                <w:noProof w:val="0"/>
                <w:rtl/>
              </w:rPr>
              <w:t>**********************************************************</w:t>
            </w:r>
          </w:p>
        </w:tc>
        <w:tc>
          <w:tcPr>
            <w:tcW w:w="284" w:type="dxa"/>
            <w:tcBorders>
              <w:top w:val="nil"/>
              <w:left w:val="nil"/>
              <w:bottom w:val="nil"/>
              <w:right w:val="nil"/>
            </w:tcBorders>
          </w:tcPr>
          <w:p w:rsidR="00CA4E9E" w:rsidRDefault="00CA4E9E" w:rsidP="00F734D6">
            <w:pPr>
              <w:pStyle w:val="a2"/>
              <w:rPr>
                <w:noProof w:val="0"/>
              </w:rPr>
            </w:pPr>
            <w:r>
              <w:rPr>
                <w:noProof w:val="0"/>
                <w:rtl/>
              </w:rPr>
              <w:t>*</w:t>
            </w:r>
          </w:p>
        </w:tc>
      </w:tr>
      <w:tr w:rsidR="00CA4E9E">
        <w:tc>
          <w:tcPr>
            <w:tcW w:w="283" w:type="dxa"/>
            <w:tcBorders>
              <w:top w:val="nil"/>
              <w:left w:val="nil"/>
              <w:bottom w:val="nil"/>
              <w:right w:val="nil"/>
            </w:tcBorders>
          </w:tcPr>
          <w:p w:rsidR="00CA4E9E" w:rsidRDefault="00CA4E9E" w:rsidP="00F734D6">
            <w:pPr>
              <w:pStyle w:val="a2"/>
              <w:rPr>
                <w:noProof w:val="0"/>
              </w:rPr>
            </w:pPr>
            <w:r>
              <w:rPr>
                <w:noProof w:val="0"/>
                <w:rtl/>
              </w:rPr>
              <w:t>* * * * * * * * * *</w:t>
            </w:r>
          </w:p>
        </w:tc>
        <w:tc>
          <w:tcPr>
            <w:tcW w:w="4111" w:type="dxa"/>
            <w:tcBorders>
              <w:top w:val="nil"/>
              <w:left w:val="nil"/>
              <w:bottom w:val="nil"/>
              <w:right w:val="nil"/>
            </w:tcBorders>
          </w:tcPr>
          <w:p w:rsidR="00CA4E9E" w:rsidRDefault="007675FA" w:rsidP="00F734D6">
            <w:pPr>
              <w:pStyle w:val="a2"/>
              <w:rPr>
                <w:noProof w:val="0"/>
                <w:rtl/>
              </w:rPr>
            </w:pPr>
            <w:r>
              <w:rPr>
                <w:noProof w:val="0"/>
                <w:rtl/>
              </w:rPr>
              <w:t>כל הזכויות שמורות לישיבת הר עציון</w:t>
            </w:r>
            <w:r w:rsidR="00CA4E9E">
              <w:rPr>
                <w:noProof w:val="0"/>
                <w:rtl/>
              </w:rPr>
              <w:t>, תשס"ו</w:t>
            </w:r>
          </w:p>
          <w:p w:rsidR="00CA4E9E" w:rsidRDefault="00CA4E9E" w:rsidP="00F734D6">
            <w:pPr>
              <w:pStyle w:val="a2"/>
              <w:rPr>
                <w:noProof w:val="0"/>
                <w:rtl/>
              </w:rPr>
            </w:pPr>
            <w:r>
              <w:rPr>
                <w:noProof w:val="0"/>
                <w:rtl/>
              </w:rPr>
              <w:t xml:space="preserve">עורך: </w:t>
            </w:r>
            <w:r w:rsidR="00332489">
              <w:rPr>
                <w:noProof w:val="0"/>
                <w:rtl/>
              </w:rPr>
              <w:t>יהונתן סלע</w:t>
            </w:r>
          </w:p>
          <w:p w:rsidR="00CA4E9E" w:rsidRDefault="00CA4E9E" w:rsidP="00F734D6">
            <w:pPr>
              <w:pStyle w:val="a2"/>
              <w:rPr>
                <w:noProof w:val="0"/>
                <w:rtl/>
              </w:rPr>
            </w:pPr>
            <w:r>
              <w:rPr>
                <w:noProof w:val="0"/>
                <w:rtl/>
              </w:rPr>
              <w:t>*******************************************************</w:t>
            </w:r>
          </w:p>
          <w:p w:rsidR="00CA4E9E" w:rsidRDefault="00CA4E9E" w:rsidP="00F734D6">
            <w:pPr>
              <w:pStyle w:val="a2"/>
              <w:rPr>
                <w:noProof w:val="0"/>
                <w:rtl/>
              </w:rPr>
            </w:pPr>
          </w:p>
          <w:p w:rsidR="00CA4E9E" w:rsidRDefault="00CA4E9E" w:rsidP="00F734D6">
            <w:pPr>
              <w:pStyle w:val="a2"/>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CA4E9E" w:rsidRDefault="00CA4E9E" w:rsidP="00F734D6">
            <w:pPr>
              <w:pStyle w:val="a2"/>
              <w:rPr>
                <w:noProof w:val="0"/>
                <w:rtl/>
              </w:rPr>
            </w:pPr>
            <w:r>
              <w:rPr>
                <w:noProof w:val="0"/>
                <w:rtl/>
              </w:rPr>
              <w:t>האתר בעברית:</w:t>
            </w:r>
            <w:r>
              <w:rPr>
                <w:noProof w:val="0"/>
                <w:rtl/>
              </w:rPr>
              <w:tab/>
            </w:r>
            <w:hyperlink r:id="rId8" w:history="1">
              <w:r w:rsidR="00920720">
                <w:rPr>
                  <w:rStyle w:val="Hyperlink"/>
                </w:rPr>
                <w:t>http://www.etzion.org.il</w:t>
              </w:r>
            </w:hyperlink>
          </w:p>
          <w:p w:rsidR="00CA4E9E" w:rsidRDefault="00CA4E9E" w:rsidP="00F734D6">
            <w:pPr>
              <w:pStyle w:val="a2"/>
              <w:rPr>
                <w:noProof w:val="0"/>
                <w:rtl/>
              </w:rPr>
            </w:pPr>
            <w:r>
              <w:rPr>
                <w:noProof w:val="0"/>
                <w:rtl/>
              </w:rPr>
              <w:t>האתר באנגלית:</w:t>
            </w:r>
            <w:r>
              <w:rPr>
                <w:noProof w:val="0"/>
                <w:rtl/>
              </w:rPr>
              <w:tab/>
            </w:r>
            <w:hyperlink r:id="rId9" w:history="1">
              <w:r w:rsidRPr="007675FA">
                <w:rPr>
                  <w:rStyle w:val="Hyperlink"/>
                </w:rPr>
                <w:t>http://www.vbm-torah.org</w:t>
              </w:r>
            </w:hyperlink>
          </w:p>
          <w:p w:rsidR="00CA4E9E" w:rsidRDefault="00CA4E9E" w:rsidP="00F734D6">
            <w:pPr>
              <w:pStyle w:val="a2"/>
              <w:rPr>
                <w:noProof w:val="0"/>
                <w:rtl/>
              </w:rPr>
            </w:pPr>
          </w:p>
          <w:p w:rsidR="00CA4E9E" w:rsidRDefault="00CA4E9E" w:rsidP="00F734D6">
            <w:pPr>
              <w:pStyle w:val="a2"/>
              <w:rPr>
                <w:noProof w:val="0"/>
                <w:rtl/>
              </w:rPr>
            </w:pPr>
            <w:r>
              <w:rPr>
                <w:noProof w:val="0"/>
                <w:rtl/>
              </w:rPr>
              <w:t xml:space="preserve">משרדי בית המדרש </w:t>
            </w:r>
            <w:proofErr w:type="spellStart"/>
            <w:r>
              <w:rPr>
                <w:noProof w:val="0"/>
                <w:rtl/>
              </w:rPr>
              <w:t>הוירטואלי</w:t>
            </w:r>
            <w:proofErr w:type="spellEnd"/>
            <w:r>
              <w:rPr>
                <w:noProof w:val="0"/>
                <w:rtl/>
              </w:rPr>
              <w:t>: 02-993</w:t>
            </w:r>
            <w:r w:rsidR="00BF4FF3">
              <w:rPr>
                <w:noProof w:val="0"/>
                <w:rtl/>
              </w:rPr>
              <w:t>7300</w:t>
            </w:r>
            <w:r>
              <w:rPr>
                <w:noProof w:val="0"/>
                <w:rtl/>
              </w:rPr>
              <w:t xml:space="preserve"> שלוחה 5 </w:t>
            </w:r>
          </w:p>
          <w:p w:rsidR="00CA4E9E" w:rsidRDefault="00CA4E9E" w:rsidP="00F734D6">
            <w:pPr>
              <w:pStyle w:val="a2"/>
              <w:rPr>
                <w:noProof w:val="0"/>
              </w:rPr>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rsidR="00CA4E9E" w:rsidRDefault="00CA4E9E" w:rsidP="00F734D6">
            <w:pPr>
              <w:pStyle w:val="a2"/>
              <w:rPr>
                <w:noProof w:val="0"/>
              </w:rPr>
            </w:pPr>
            <w:r>
              <w:rPr>
                <w:noProof w:val="0"/>
                <w:rtl/>
              </w:rPr>
              <w:t xml:space="preserve">* * * * * * * * * * </w:t>
            </w:r>
          </w:p>
        </w:tc>
      </w:tr>
      <w:tr w:rsidR="00CA4E9E">
        <w:tc>
          <w:tcPr>
            <w:tcW w:w="283" w:type="dxa"/>
            <w:tcBorders>
              <w:top w:val="nil"/>
              <w:left w:val="nil"/>
              <w:bottom w:val="nil"/>
              <w:right w:val="nil"/>
            </w:tcBorders>
          </w:tcPr>
          <w:p w:rsidR="00CA4E9E" w:rsidRDefault="00CA4E9E" w:rsidP="00F734D6">
            <w:pPr>
              <w:pStyle w:val="a2"/>
              <w:rPr>
                <w:noProof w:val="0"/>
              </w:rPr>
            </w:pPr>
            <w:r>
              <w:rPr>
                <w:noProof w:val="0"/>
                <w:rtl/>
              </w:rPr>
              <w:t>*</w:t>
            </w:r>
          </w:p>
        </w:tc>
        <w:tc>
          <w:tcPr>
            <w:tcW w:w="4111" w:type="dxa"/>
            <w:tcBorders>
              <w:top w:val="nil"/>
              <w:left w:val="nil"/>
              <w:bottom w:val="nil"/>
              <w:right w:val="nil"/>
            </w:tcBorders>
          </w:tcPr>
          <w:p w:rsidR="00CA4E9E" w:rsidRDefault="00CA4E9E" w:rsidP="00F734D6">
            <w:pPr>
              <w:pStyle w:val="a2"/>
              <w:rPr>
                <w:noProof w:val="0"/>
              </w:rPr>
            </w:pPr>
            <w:r>
              <w:rPr>
                <w:noProof w:val="0"/>
                <w:rtl/>
              </w:rPr>
              <w:t>**********************************************************</w:t>
            </w:r>
          </w:p>
        </w:tc>
        <w:tc>
          <w:tcPr>
            <w:tcW w:w="284" w:type="dxa"/>
            <w:tcBorders>
              <w:top w:val="nil"/>
              <w:left w:val="nil"/>
              <w:bottom w:val="nil"/>
              <w:right w:val="nil"/>
            </w:tcBorders>
          </w:tcPr>
          <w:p w:rsidR="00CA4E9E" w:rsidRDefault="00CA4E9E" w:rsidP="00F734D6">
            <w:pPr>
              <w:pStyle w:val="a2"/>
              <w:rPr>
                <w:noProof w:val="0"/>
              </w:rPr>
            </w:pPr>
            <w:r>
              <w:rPr>
                <w:noProof w:val="0"/>
                <w:rtl/>
              </w:rPr>
              <w:t>*</w:t>
            </w:r>
          </w:p>
        </w:tc>
      </w:tr>
    </w:tbl>
    <w:p w:rsidR="00D246FA" w:rsidRDefault="00D246FA" w:rsidP="004149AB"/>
    <w:p w:rsidR="00D23132" w:rsidRDefault="00D23132" w:rsidP="004149AB"/>
    <w:p w:rsidR="00D23132" w:rsidRDefault="00D23132" w:rsidP="004149AB">
      <w:pPr>
        <w:rPr>
          <w:rtl/>
        </w:rPr>
      </w:pPr>
    </w:p>
    <w:sectPr w:rsidR="00D23132">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132" w:rsidRDefault="00D23132">
      <w:r>
        <w:separator/>
      </w:r>
    </w:p>
  </w:endnote>
  <w:endnote w:type="continuationSeparator" w:id="0">
    <w:p w:rsidR="00D23132" w:rsidRDefault="00D2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entury Schoolbook"/>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132" w:rsidRDefault="00D23132">
      <w:r>
        <w:separator/>
      </w:r>
    </w:p>
  </w:footnote>
  <w:footnote w:type="continuationSeparator" w:id="0">
    <w:p w:rsidR="00D23132" w:rsidRDefault="00D23132">
      <w:r>
        <w:continuationSeparator/>
      </w:r>
    </w:p>
  </w:footnote>
  <w:footnote w:id="1">
    <w:p w:rsidR="00D23132" w:rsidRDefault="00D23132">
      <w:pPr>
        <w:pStyle w:val="FootnoteText"/>
      </w:pPr>
      <w:r>
        <w:rPr>
          <w:rStyle w:val="FootnoteReference"/>
        </w:rPr>
        <w:footnoteRef/>
      </w:r>
      <w:r>
        <w:rPr>
          <w:rtl/>
        </w:rPr>
        <w:t xml:space="preserve"> </w:t>
      </w:r>
      <w:r>
        <w:rPr>
          <w:rtl/>
        </w:rPr>
        <w:tab/>
        <w:t>השיעור ניתן על ידי הרב כשיעור כללי בישיבה. תודה מיוחדת לדב דניאל, שסיכם את השיעור וערכו עבור בית המדרש הווירטואלי.</w:t>
      </w:r>
    </w:p>
  </w:footnote>
  <w:footnote w:id="2">
    <w:p w:rsidR="00D23132" w:rsidRDefault="00D23132">
      <w:pPr>
        <w:pStyle w:val="FootnoteText"/>
      </w:pPr>
      <w:r>
        <w:rPr>
          <w:rStyle w:val="FootnoteReference"/>
        </w:rPr>
        <w:footnoteRef/>
      </w:r>
      <w:r>
        <w:rPr>
          <w:rtl/>
        </w:rPr>
        <w:t xml:space="preserve"> </w:t>
      </w:r>
      <w:r>
        <w:rPr>
          <w:rtl/>
        </w:rPr>
        <w:tab/>
        <w:t>אין צורך להיבהל מניסוחו של הרמב"ם, שקורא לסימנים אלו "סימנים מובהקים". בינתיים נניח בפשטות שכוונתו לסימנים שעל פיהם משיבים אבדה, ולעניין זה הם מובהקים - על אף שבמדד האובייקטיבי שאותו אנו מתארים כעת הם נחשבים בינוניים.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132" w:rsidRDefault="00D23132">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C53C31">
      <w:rPr>
        <w:b/>
        <w:bCs/>
        <w:noProof/>
        <w:sz w:val="21"/>
        <w:rtl/>
      </w:rPr>
      <w:t>3</w:t>
    </w:r>
    <w:r>
      <w:rPr>
        <w:b/>
        <w:bCs/>
        <w:sz w:val="21"/>
        <w:rtl/>
      </w:rPr>
      <w:fldChar w:fldCharType="end"/>
    </w:r>
    <w:r>
      <w:rPr>
        <w:b/>
        <w:bCs/>
        <w:sz w:val="21"/>
        <w:rtl/>
      </w:rPr>
      <w:t xml:space="preserve"> -</w:t>
    </w:r>
  </w:p>
  <w:p w:rsidR="00D23132" w:rsidRDefault="00D23132"/>
  <w:p w:rsidR="00D23132" w:rsidRDefault="00D231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D23132">
      <w:tc>
        <w:tcPr>
          <w:tcW w:w="4927" w:type="dxa"/>
          <w:tcBorders>
            <w:top w:val="nil"/>
            <w:left w:val="nil"/>
            <w:bottom w:val="double" w:sz="4" w:space="0" w:color="auto"/>
            <w:right w:val="nil"/>
          </w:tcBorders>
        </w:tcPr>
        <w:p w:rsidR="00D23132" w:rsidRDefault="00D23132">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שליד ישיבת הר עציון</w:t>
          </w:r>
        </w:p>
        <w:p w:rsidR="00D23132" w:rsidRDefault="00D23132">
          <w:pPr>
            <w:pStyle w:val="Header"/>
            <w:tabs>
              <w:tab w:val="clear" w:pos="4153"/>
              <w:tab w:val="clear" w:pos="8306"/>
              <w:tab w:val="center" w:pos="4818"/>
              <w:tab w:val="right" w:pos="8220"/>
            </w:tabs>
            <w:spacing w:after="0"/>
            <w:rPr>
              <w:sz w:val="21"/>
            </w:rPr>
          </w:pPr>
          <w:r>
            <w:rPr>
              <w:sz w:val="21"/>
              <w:rtl/>
            </w:rPr>
            <w:t>שיעורים בעיון במסכת גיטין מאת רבני הישיבה</w:t>
          </w:r>
        </w:p>
      </w:tc>
      <w:tc>
        <w:tcPr>
          <w:tcW w:w="4927" w:type="dxa"/>
          <w:tcBorders>
            <w:top w:val="nil"/>
            <w:left w:val="nil"/>
            <w:bottom w:val="double" w:sz="4" w:space="0" w:color="auto"/>
            <w:right w:val="nil"/>
          </w:tcBorders>
          <w:vAlign w:val="center"/>
        </w:tcPr>
        <w:p w:rsidR="00D23132" w:rsidRDefault="00D23132" w:rsidP="00920720">
          <w:pPr>
            <w:pStyle w:val="Header"/>
            <w:tabs>
              <w:tab w:val="clear" w:pos="4153"/>
              <w:tab w:val="clear" w:pos="8306"/>
              <w:tab w:val="right" w:pos="8220"/>
            </w:tabs>
            <w:bidi w:val="0"/>
            <w:spacing w:after="0" w:line="240" w:lineRule="auto"/>
            <w:jc w:val="left"/>
            <w:rPr>
              <w:sz w:val="28"/>
              <w:szCs w:val="24"/>
            </w:rPr>
          </w:pPr>
          <w:r>
            <w:rPr>
              <w:b/>
              <w:bCs/>
              <w:sz w:val="28"/>
              <w:szCs w:val="24"/>
            </w:rPr>
            <w:t>www.etzion.org.il</w:t>
          </w:r>
        </w:p>
      </w:tc>
    </w:tr>
  </w:tbl>
  <w:p w:rsidR="00D23132" w:rsidRDefault="00D23132">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817"/>
    <w:multiLevelType w:val="hybridMultilevel"/>
    <w:tmpl w:val="B5AC06C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2">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3">
    <w:nsid w:val="07987937"/>
    <w:multiLevelType w:val="hybridMultilevel"/>
    <w:tmpl w:val="54301C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9681CC0"/>
    <w:multiLevelType w:val="hybridMultilevel"/>
    <w:tmpl w:val="CDB40BAC"/>
    <w:lvl w:ilvl="0" w:tplc="EDF67F0E">
      <w:start w:val="1"/>
      <w:numFmt w:val="hebrew1"/>
      <w:lvlText w:val="%1."/>
      <w:lvlJc w:val="left"/>
      <w:pPr>
        <w:tabs>
          <w:tab w:val="num" w:pos="720"/>
        </w:tabs>
        <w:ind w:left="720" w:hanging="360"/>
      </w:pPr>
      <w:rPr>
        <w:rFonts w:cs="Times New Roman" w:hint="default"/>
        <w:sz w:val="2"/>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6">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7">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8">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9">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1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1">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12">
    <w:nsid w:val="26875073"/>
    <w:multiLevelType w:val="hybridMultilevel"/>
    <w:tmpl w:val="0F04830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4">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5">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6">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7">
    <w:nsid w:val="3A60430B"/>
    <w:multiLevelType w:val="singleLevel"/>
    <w:tmpl w:val="040D000F"/>
    <w:lvl w:ilvl="0">
      <w:start w:val="1"/>
      <w:numFmt w:val="decimal"/>
      <w:lvlText w:val="%1."/>
      <w:lvlJc w:val="center"/>
      <w:pPr>
        <w:tabs>
          <w:tab w:val="num" w:pos="648"/>
        </w:tabs>
        <w:ind w:hanging="72"/>
      </w:pPr>
      <w:rPr>
        <w:rFonts w:cs="Miriam"/>
      </w:rPr>
    </w:lvl>
  </w:abstractNum>
  <w:abstractNum w:abstractNumId="18">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9">
    <w:nsid w:val="3C467BCF"/>
    <w:multiLevelType w:val="singleLevel"/>
    <w:tmpl w:val="040D000F"/>
    <w:lvl w:ilvl="0">
      <w:start w:val="1"/>
      <w:numFmt w:val="decimal"/>
      <w:lvlText w:val="%1."/>
      <w:lvlJc w:val="center"/>
      <w:pPr>
        <w:tabs>
          <w:tab w:val="num" w:pos="648"/>
        </w:tabs>
        <w:ind w:hanging="72"/>
      </w:pPr>
      <w:rPr>
        <w:rFonts w:cs="Miriam"/>
      </w:rPr>
    </w:lvl>
  </w:abstractNum>
  <w:abstractNum w:abstractNumId="2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21">
    <w:nsid w:val="40217101"/>
    <w:multiLevelType w:val="hybridMultilevel"/>
    <w:tmpl w:val="7FB4ACA8"/>
    <w:lvl w:ilvl="0" w:tplc="A920ADF8">
      <w:start w:val="1"/>
      <w:numFmt w:val="decimal"/>
      <w:lvlText w:val="(%1)"/>
      <w:lvlJc w:val="left"/>
      <w:pPr>
        <w:tabs>
          <w:tab w:val="num" w:pos="720"/>
        </w:tabs>
        <w:ind w:left="720" w:hanging="360"/>
      </w:pPr>
      <w:rPr>
        <w:rFonts w:cs="David"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1EF2D46"/>
    <w:multiLevelType w:val="hybridMultilevel"/>
    <w:tmpl w:val="282EEE1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24">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25">
    <w:nsid w:val="47D73A76"/>
    <w:multiLevelType w:val="hybridMultilevel"/>
    <w:tmpl w:val="2AB00D62"/>
    <w:lvl w:ilvl="0" w:tplc="EDF67F0E">
      <w:start w:val="1"/>
      <w:numFmt w:val="hebrew1"/>
      <w:lvlText w:val="%1."/>
      <w:lvlJc w:val="left"/>
      <w:pPr>
        <w:tabs>
          <w:tab w:val="num" w:pos="720"/>
        </w:tabs>
        <w:ind w:left="720" w:hanging="360"/>
      </w:pPr>
      <w:rPr>
        <w:rFonts w:cs="Times New Roman" w:hint="default"/>
        <w:sz w:val="2"/>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7">
    <w:nsid w:val="562D425B"/>
    <w:multiLevelType w:val="hybridMultilevel"/>
    <w:tmpl w:val="B4E0857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97F2C1D"/>
    <w:multiLevelType w:val="hybridMultilevel"/>
    <w:tmpl w:val="C2248D78"/>
    <w:lvl w:ilvl="0" w:tplc="EA9879F8">
      <w:start w:val="1"/>
      <w:numFmt w:val="hebrew1"/>
      <w:lvlText w:val="%1."/>
      <w:lvlJc w:val="left"/>
      <w:pPr>
        <w:tabs>
          <w:tab w:val="num" w:pos="720"/>
        </w:tabs>
        <w:ind w:left="720" w:hanging="360"/>
      </w:pPr>
      <w:rPr>
        <w:rFonts w:cs="Times New Roman" w:hint="default"/>
        <w:sz w:val="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3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31">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32">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33">
    <w:nsid w:val="5F202647"/>
    <w:multiLevelType w:val="hybridMultilevel"/>
    <w:tmpl w:val="4D2050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3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3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37">
    <w:nsid w:val="637F5B00"/>
    <w:multiLevelType w:val="hybridMultilevel"/>
    <w:tmpl w:val="8ED61D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39">
    <w:nsid w:val="695705C6"/>
    <w:multiLevelType w:val="hybridMultilevel"/>
    <w:tmpl w:val="CF52312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6972175B"/>
    <w:multiLevelType w:val="hybridMultilevel"/>
    <w:tmpl w:val="588C654E"/>
    <w:lvl w:ilvl="0" w:tplc="EDF67F0E">
      <w:start w:val="1"/>
      <w:numFmt w:val="hebrew1"/>
      <w:lvlText w:val="%1."/>
      <w:lvlJc w:val="left"/>
      <w:pPr>
        <w:tabs>
          <w:tab w:val="num" w:pos="720"/>
        </w:tabs>
        <w:ind w:left="720" w:hanging="360"/>
      </w:pPr>
      <w:rPr>
        <w:rFonts w:cs="Times New Roman" w:hint="default"/>
        <w:sz w:val="2"/>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42">
    <w:nsid w:val="728517AA"/>
    <w:multiLevelType w:val="hybridMultilevel"/>
    <w:tmpl w:val="04BE58A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44">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45">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46">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41"/>
  </w:num>
  <w:num w:numId="2">
    <w:abstractNumId w:val="32"/>
  </w:num>
  <w:num w:numId="3">
    <w:abstractNumId w:val="46"/>
  </w:num>
  <w:num w:numId="4">
    <w:abstractNumId w:val="20"/>
  </w:num>
  <w:num w:numId="5">
    <w:abstractNumId w:val="7"/>
  </w:num>
  <w:num w:numId="6">
    <w:abstractNumId w:val="36"/>
  </w:num>
  <w:num w:numId="7">
    <w:abstractNumId w:val="16"/>
  </w:num>
  <w:num w:numId="8">
    <w:abstractNumId w:val="45"/>
  </w:num>
  <w:num w:numId="9">
    <w:abstractNumId w:val="1"/>
  </w:num>
  <w:num w:numId="10">
    <w:abstractNumId w:val="9"/>
  </w:num>
  <w:num w:numId="11">
    <w:abstractNumId w:val="38"/>
  </w:num>
  <w:num w:numId="12">
    <w:abstractNumId w:val="11"/>
  </w:num>
  <w:num w:numId="13">
    <w:abstractNumId w:val="29"/>
  </w:num>
  <w:num w:numId="14">
    <w:abstractNumId w:val="23"/>
  </w:num>
  <w:num w:numId="15">
    <w:abstractNumId w:val="31"/>
  </w:num>
  <w:num w:numId="16">
    <w:abstractNumId w:val="10"/>
  </w:num>
  <w:num w:numId="17">
    <w:abstractNumId w:val="15"/>
  </w:num>
  <w:num w:numId="18">
    <w:abstractNumId w:val="18"/>
  </w:num>
  <w:num w:numId="19">
    <w:abstractNumId w:val="35"/>
  </w:num>
  <w:num w:numId="20">
    <w:abstractNumId w:val="6"/>
  </w:num>
  <w:num w:numId="21">
    <w:abstractNumId w:val="34"/>
  </w:num>
  <w:num w:numId="22">
    <w:abstractNumId w:val="8"/>
  </w:num>
  <w:num w:numId="23">
    <w:abstractNumId w:val="13"/>
  </w:num>
  <w:num w:numId="24">
    <w:abstractNumId w:val="5"/>
  </w:num>
  <w:num w:numId="25">
    <w:abstractNumId w:val="24"/>
  </w:num>
  <w:num w:numId="26">
    <w:abstractNumId w:val="44"/>
  </w:num>
  <w:num w:numId="27">
    <w:abstractNumId w:val="2"/>
  </w:num>
  <w:num w:numId="28">
    <w:abstractNumId w:val="43"/>
  </w:num>
  <w:num w:numId="29">
    <w:abstractNumId w:val="14"/>
  </w:num>
  <w:num w:numId="30">
    <w:abstractNumId w:val="30"/>
  </w:num>
  <w:num w:numId="31">
    <w:abstractNumId w:val="26"/>
  </w:num>
  <w:num w:numId="32">
    <w:abstractNumId w:val="22"/>
  </w:num>
  <w:num w:numId="33">
    <w:abstractNumId w:val="25"/>
  </w:num>
  <w:num w:numId="34">
    <w:abstractNumId w:val="40"/>
  </w:num>
  <w:num w:numId="35">
    <w:abstractNumId w:val="39"/>
  </w:num>
  <w:num w:numId="36">
    <w:abstractNumId w:val="27"/>
  </w:num>
  <w:num w:numId="37">
    <w:abstractNumId w:val="4"/>
  </w:num>
  <w:num w:numId="38">
    <w:abstractNumId w:val="17"/>
  </w:num>
  <w:num w:numId="39">
    <w:abstractNumId w:val="19"/>
  </w:num>
  <w:num w:numId="40">
    <w:abstractNumId w:val="21"/>
  </w:num>
  <w:num w:numId="41">
    <w:abstractNumId w:val="37"/>
  </w:num>
  <w:num w:numId="42">
    <w:abstractNumId w:val="33"/>
  </w:num>
  <w:num w:numId="43">
    <w:abstractNumId w:val="28"/>
  </w:num>
  <w:num w:numId="44">
    <w:abstractNumId w:val="0"/>
  </w:num>
  <w:num w:numId="45">
    <w:abstractNumId w:val="3"/>
  </w:num>
  <w:num w:numId="46">
    <w:abstractNumId w:val="12"/>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D6"/>
    <w:rsid w:val="00006F48"/>
    <w:rsid w:val="00021AD6"/>
    <w:rsid w:val="00033D21"/>
    <w:rsid w:val="000407D3"/>
    <w:rsid w:val="0005121A"/>
    <w:rsid w:val="00061F9D"/>
    <w:rsid w:val="00065200"/>
    <w:rsid w:val="00080635"/>
    <w:rsid w:val="00090B74"/>
    <w:rsid w:val="0009220A"/>
    <w:rsid w:val="000A7A9B"/>
    <w:rsid w:val="000B2015"/>
    <w:rsid w:val="000B5981"/>
    <w:rsid w:val="000B6138"/>
    <w:rsid w:val="000C3095"/>
    <w:rsid w:val="000E6912"/>
    <w:rsid w:val="000F0293"/>
    <w:rsid w:val="00105126"/>
    <w:rsid w:val="001225F6"/>
    <w:rsid w:val="001231AC"/>
    <w:rsid w:val="0012482F"/>
    <w:rsid w:val="00141826"/>
    <w:rsid w:val="001472B1"/>
    <w:rsid w:val="00147F88"/>
    <w:rsid w:val="001568DB"/>
    <w:rsid w:val="001570A0"/>
    <w:rsid w:val="0016009A"/>
    <w:rsid w:val="00184BF6"/>
    <w:rsid w:val="00195031"/>
    <w:rsid w:val="00196895"/>
    <w:rsid w:val="001A7A33"/>
    <w:rsid w:val="001B75A8"/>
    <w:rsid w:val="001C043B"/>
    <w:rsid w:val="001C1C7E"/>
    <w:rsid w:val="001C5BB8"/>
    <w:rsid w:val="001C6A76"/>
    <w:rsid w:val="001C727F"/>
    <w:rsid w:val="001C744D"/>
    <w:rsid w:val="001D7FBF"/>
    <w:rsid w:val="001F6A81"/>
    <w:rsid w:val="0020679D"/>
    <w:rsid w:val="00207380"/>
    <w:rsid w:val="00212325"/>
    <w:rsid w:val="00223193"/>
    <w:rsid w:val="002232F7"/>
    <w:rsid w:val="002237D8"/>
    <w:rsid w:val="00233098"/>
    <w:rsid w:val="00234630"/>
    <w:rsid w:val="00242FDB"/>
    <w:rsid w:val="002523B4"/>
    <w:rsid w:val="002564F5"/>
    <w:rsid w:val="00256B1A"/>
    <w:rsid w:val="002804B3"/>
    <w:rsid w:val="002A15EE"/>
    <w:rsid w:val="002B3F3B"/>
    <w:rsid w:val="002B6FFE"/>
    <w:rsid w:val="002D5136"/>
    <w:rsid w:val="002E5538"/>
    <w:rsid w:val="002E7501"/>
    <w:rsid w:val="002F33B1"/>
    <w:rsid w:val="003162C5"/>
    <w:rsid w:val="003237F5"/>
    <w:rsid w:val="0032598B"/>
    <w:rsid w:val="00330853"/>
    <w:rsid w:val="00332489"/>
    <w:rsid w:val="003324BD"/>
    <w:rsid w:val="003412D1"/>
    <w:rsid w:val="0035650D"/>
    <w:rsid w:val="00360C62"/>
    <w:rsid w:val="00361BED"/>
    <w:rsid w:val="003907DB"/>
    <w:rsid w:val="00390837"/>
    <w:rsid w:val="00396005"/>
    <w:rsid w:val="003A5E55"/>
    <w:rsid w:val="003B4C5E"/>
    <w:rsid w:val="003C25AA"/>
    <w:rsid w:val="003E203D"/>
    <w:rsid w:val="00413328"/>
    <w:rsid w:val="004149AB"/>
    <w:rsid w:val="00422DBE"/>
    <w:rsid w:val="00425CC9"/>
    <w:rsid w:val="00436D76"/>
    <w:rsid w:val="004425DD"/>
    <w:rsid w:val="00445940"/>
    <w:rsid w:val="00462593"/>
    <w:rsid w:val="00463CBE"/>
    <w:rsid w:val="00476C67"/>
    <w:rsid w:val="004808FA"/>
    <w:rsid w:val="004A4CF1"/>
    <w:rsid w:val="004C627F"/>
    <w:rsid w:val="004D1E6C"/>
    <w:rsid w:val="004E731F"/>
    <w:rsid w:val="0051404B"/>
    <w:rsid w:val="00515146"/>
    <w:rsid w:val="0051518D"/>
    <w:rsid w:val="0051555A"/>
    <w:rsid w:val="00522EEC"/>
    <w:rsid w:val="00532685"/>
    <w:rsid w:val="005441B6"/>
    <w:rsid w:val="00551E15"/>
    <w:rsid w:val="00570D01"/>
    <w:rsid w:val="00582524"/>
    <w:rsid w:val="00584F1F"/>
    <w:rsid w:val="005A46F8"/>
    <w:rsid w:val="005A507F"/>
    <w:rsid w:val="005A798E"/>
    <w:rsid w:val="005B3283"/>
    <w:rsid w:val="005D7A3C"/>
    <w:rsid w:val="005E7C9D"/>
    <w:rsid w:val="005F31C0"/>
    <w:rsid w:val="005F433D"/>
    <w:rsid w:val="00601F39"/>
    <w:rsid w:val="00616A25"/>
    <w:rsid w:val="00622BE0"/>
    <w:rsid w:val="0062361A"/>
    <w:rsid w:val="00630648"/>
    <w:rsid w:val="006309ED"/>
    <w:rsid w:val="00632129"/>
    <w:rsid w:val="006336F8"/>
    <w:rsid w:val="0064200B"/>
    <w:rsid w:val="00661F82"/>
    <w:rsid w:val="00667D01"/>
    <w:rsid w:val="00694A9A"/>
    <w:rsid w:val="006A2D30"/>
    <w:rsid w:val="006B43F4"/>
    <w:rsid w:val="006B684E"/>
    <w:rsid w:val="006B6EEA"/>
    <w:rsid w:val="006C0E20"/>
    <w:rsid w:val="006C774A"/>
    <w:rsid w:val="006D56AD"/>
    <w:rsid w:val="006D5C52"/>
    <w:rsid w:val="006E3229"/>
    <w:rsid w:val="006F121B"/>
    <w:rsid w:val="006F38D9"/>
    <w:rsid w:val="006F4884"/>
    <w:rsid w:val="006F6533"/>
    <w:rsid w:val="006F6A8D"/>
    <w:rsid w:val="00705898"/>
    <w:rsid w:val="007070EC"/>
    <w:rsid w:val="007157E1"/>
    <w:rsid w:val="00741FA3"/>
    <w:rsid w:val="0076358B"/>
    <w:rsid w:val="00763CDF"/>
    <w:rsid w:val="00765B5E"/>
    <w:rsid w:val="007675FA"/>
    <w:rsid w:val="00771C4B"/>
    <w:rsid w:val="00774798"/>
    <w:rsid w:val="00783F30"/>
    <w:rsid w:val="00785B62"/>
    <w:rsid w:val="0079480D"/>
    <w:rsid w:val="007B242A"/>
    <w:rsid w:val="007C1577"/>
    <w:rsid w:val="007E3FB0"/>
    <w:rsid w:val="007E5688"/>
    <w:rsid w:val="007F249F"/>
    <w:rsid w:val="007F381C"/>
    <w:rsid w:val="00812F14"/>
    <w:rsid w:val="00814AFB"/>
    <w:rsid w:val="00857848"/>
    <w:rsid w:val="008816E7"/>
    <w:rsid w:val="00883332"/>
    <w:rsid w:val="008A6B36"/>
    <w:rsid w:val="008B2946"/>
    <w:rsid w:val="008C4A9D"/>
    <w:rsid w:val="008C6D8D"/>
    <w:rsid w:val="008E0111"/>
    <w:rsid w:val="008E0AF3"/>
    <w:rsid w:val="008F18B8"/>
    <w:rsid w:val="008F3595"/>
    <w:rsid w:val="008F57D8"/>
    <w:rsid w:val="008F6C19"/>
    <w:rsid w:val="0090318D"/>
    <w:rsid w:val="00904AD0"/>
    <w:rsid w:val="00916B5B"/>
    <w:rsid w:val="00920720"/>
    <w:rsid w:val="00925B52"/>
    <w:rsid w:val="0093078F"/>
    <w:rsid w:val="00933869"/>
    <w:rsid w:val="00946061"/>
    <w:rsid w:val="00950094"/>
    <w:rsid w:val="00952FAF"/>
    <w:rsid w:val="0097110F"/>
    <w:rsid w:val="00976B14"/>
    <w:rsid w:val="00977FFC"/>
    <w:rsid w:val="009831CD"/>
    <w:rsid w:val="0098591D"/>
    <w:rsid w:val="009A12D6"/>
    <w:rsid w:val="009A3B55"/>
    <w:rsid w:val="009A6999"/>
    <w:rsid w:val="009B12A5"/>
    <w:rsid w:val="009B1ED1"/>
    <w:rsid w:val="009B3191"/>
    <w:rsid w:val="009C682B"/>
    <w:rsid w:val="009C7457"/>
    <w:rsid w:val="009C7CEC"/>
    <w:rsid w:val="009E219E"/>
    <w:rsid w:val="009E5C6D"/>
    <w:rsid w:val="009F5229"/>
    <w:rsid w:val="009F799E"/>
    <w:rsid w:val="00A01250"/>
    <w:rsid w:val="00A06458"/>
    <w:rsid w:val="00A10BCC"/>
    <w:rsid w:val="00A13194"/>
    <w:rsid w:val="00A31881"/>
    <w:rsid w:val="00A3496A"/>
    <w:rsid w:val="00A36B61"/>
    <w:rsid w:val="00A73EFE"/>
    <w:rsid w:val="00A8182D"/>
    <w:rsid w:val="00A86A01"/>
    <w:rsid w:val="00AA036F"/>
    <w:rsid w:val="00AA5848"/>
    <w:rsid w:val="00AB483F"/>
    <w:rsid w:val="00AB6BE2"/>
    <w:rsid w:val="00AB6CB7"/>
    <w:rsid w:val="00AC0122"/>
    <w:rsid w:val="00AC4198"/>
    <w:rsid w:val="00AC5F48"/>
    <w:rsid w:val="00AC6175"/>
    <w:rsid w:val="00AF0DDB"/>
    <w:rsid w:val="00AF63E2"/>
    <w:rsid w:val="00B05085"/>
    <w:rsid w:val="00B10EEA"/>
    <w:rsid w:val="00B144C7"/>
    <w:rsid w:val="00B27C2F"/>
    <w:rsid w:val="00B3602E"/>
    <w:rsid w:val="00B646AE"/>
    <w:rsid w:val="00B85DE6"/>
    <w:rsid w:val="00B9082F"/>
    <w:rsid w:val="00BA67E7"/>
    <w:rsid w:val="00BB497B"/>
    <w:rsid w:val="00BC3090"/>
    <w:rsid w:val="00BC3E32"/>
    <w:rsid w:val="00BC4C83"/>
    <w:rsid w:val="00BC5A42"/>
    <w:rsid w:val="00BC74DC"/>
    <w:rsid w:val="00BD13E6"/>
    <w:rsid w:val="00BD38E6"/>
    <w:rsid w:val="00BE1E43"/>
    <w:rsid w:val="00BF2212"/>
    <w:rsid w:val="00BF4FF3"/>
    <w:rsid w:val="00C05E39"/>
    <w:rsid w:val="00C40DFC"/>
    <w:rsid w:val="00C4736F"/>
    <w:rsid w:val="00C53C31"/>
    <w:rsid w:val="00C74290"/>
    <w:rsid w:val="00C74E38"/>
    <w:rsid w:val="00C86970"/>
    <w:rsid w:val="00CA0B8B"/>
    <w:rsid w:val="00CA13F6"/>
    <w:rsid w:val="00CA4E9E"/>
    <w:rsid w:val="00CC79CC"/>
    <w:rsid w:val="00CD401D"/>
    <w:rsid w:val="00CD4792"/>
    <w:rsid w:val="00CD4FF3"/>
    <w:rsid w:val="00CD6F1D"/>
    <w:rsid w:val="00CE49D1"/>
    <w:rsid w:val="00D060B5"/>
    <w:rsid w:val="00D23132"/>
    <w:rsid w:val="00D246FA"/>
    <w:rsid w:val="00D57A54"/>
    <w:rsid w:val="00D6226F"/>
    <w:rsid w:val="00D66BA4"/>
    <w:rsid w:val="00D71AEE"/>
    <w:rsid w:val="00D75494"/>
    <w:rsid w:val="00D846AD"/>
    <w:rsid w:val="00D93529"/>
    <w:rsid w:val="00D941C6"/>
    <w:rsid w:val="00DB01B9"/>
    <w:rsid w:val="00DB0D53"/>
    <w:rsid w:val="00DB1B98"/>
    <w:rsid w:val="00DB4619"/>
    <w:rsid w:val="00DB4F1E"/>
    <w:rsid w:val="00DC6475"/>
    <w:rsid w:val="00DD628F"/>
    <w:rsid w:val="00DD779C"/>
    <w:rsid w:val="00DF08EE"/>
    <w:rsid w:val="00DF39FE"/>
    <w:rsid w:val="00DF497F"/>
    <w:rsid w:val="00E00BAC"/>
    <w:rsid w:val="00E35070"/>
    <w:rsid w:val="00E37312"/>
    <w:rsid w:val="00E44AC6"/>
    <w:rsid w:val="00E7637B"/>
    <w:rsid w:val="00E8498E"/>
    <w:rsid w:val="00E90E75"/>
    <w:rsid w:val="00EA021D"/>
    <w:rsid w:val="00EA13B9"/>
    <w:rsid w:val="00EB2165"/>
    <w:rsid w:val="00EB301D"/>
    <w:rsid w:val="00EC1B20"/>
    <w:rsid w:val="00EC2D70"/>
    <w:rsid w:val="00EC3EA1"/>
    <w:rsid w:val="00ED26CB"/>
    <w:rsid w:val="00ED3C6A"/>
    <w:rsid w:val="00ED4507"/>
    <w:rsid w:val="00EE0405"/>
    <w:rsid w:val="00EE3381"/>
    <w:rsid w:val="00EE4964"/>
    <w:rsid w:val="00EF0DDD"/>
    <w:rsid w:val="00EF5691"/>
    <w:rsid w:val="00F03A38"/>
    <w:rsid w:val="00F13307"/>
    <w:rsid w:val="00F3152C"/>
    <w:rsid w:val="00F36C01"/>
    <w:rsid w:val="00F44AFE"/>
    <w:rsid w:val="00F45E12"/>
    <w:rsid w:val="00F47A5A"/>
    <w:rsid w:val="00F61A71"/>
    <w:rsid w:val="00F66DD4"/>
    <w:rsid w:val="00F70934"/>
    <w:rsid w:val="00F734D6"/>
    <w:rsid w:val="00F739CE"/>
    <w:rsid w:val="00F91E5E"/>
    <w:rsid w:val="00FA2F32"/>
    <w:rsid w:val="00FE4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rPr>
      <w:rFonts w:cs="Narkisim"/>
      <w:sz w:val="20"/>
      <w:szCs w:val="2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cs="Narkisim"/>
      <w:sz w:val="20"/>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a0">
    <w:name w:val="ציטוט"/>
    <w:basedOn w:val="Normal"/>
    <w:uiPriority w:val="99"/>
    <w:rsid w:val="00CA4E9E"/>
    <w:pPr>
      <w:tabs>
        <w:tab w:val="right" w:pos="4620"/>
      </w:tabs>
      <w:ind w:left="567"/>
    </w:pPr>
  </w:style>
  <w:style w:type="paragraph" w:customStyle="1" w:styleId="a1">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1"/>
    <w:uiPriority w:val="99"/>
    <w:pPr>
      <w:spacing w:after="60"/>
    </w:pPr>
    <w:rPr>
      <w:sz w:val="26"/>
      <w:szCs w:val="28"/>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rPr>
      <w:rFonts w:cs="Narkisim"/>
      <w:sz w:val="20"/>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rPr>
      <w:rFonts w:cs="Narkisim"/>
      <w:sz w:val="20"/>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rPr>
      <w:rFonts w:cs="Narkisim"/>
      <w:sz w:val="16"/>
      <w:szCs w:val="16"/>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rPr>
      <w:rFonts w:cs="Narkisim"/>
      <w:sz w:val="20"/>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
    <w:name w:val="סגנון1"/>
    <w:basedOn w:val="a0"/>
    <w:uiPriority w:val="99"/>
  </w:style>
  <w:style w:type="paragraph" w:customStyle="1" w:styleId="20">
    <w:name w:val="סגנון2"/>
    <w:basedOn w:val="a0"/>
    <w:uiPriority w:val="99"/>
  </w:style>
  <w:style w:type="paragraph" w:customStyle="1" w:styleId="30">
    <w:name w:val="סגנון3"/>
    <w:basedOn w:val="Normal"/>
    <w:uiPriority w:val="99"/>
    <w:rPr>
      <w:sz w:val="21"/>
    </w:rPr>
  </w:style>
  <w:style w:type="paragraph" w:customStyle="1" w:styleId="a3">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quotation">
    <w:name w:val="quotation"/>
    <w:basedOn w:val="Normal"/>
    <w:uiPriority w:val="99"/>
    <w:rsid w:val="008C6D8D"/>
    <w:pPr>
      <w:spacing w:after="0" w:line="240" w:lineRule="auto"/>
      <w:ind w:left="851" w:right="851"/>
    </w:pPr>
    <w:rPr>
      <w:rFonts w:ascii="Courier New" w:hAnsi="Courier New" w:cs="Miriam"/>
      <w:sz w:val="24"/>
    </w:rPr>
  </w:style>
  <w:style w:type="paragraph" w:styleId="EndnoteText">
    <w:name w:val="endnote text"/>
    <w:basedOn w:val="Normal"/>
    <w:link w:val="EndnoteTextChar"/>
    <w:uiPriority w:val="99"/>
    <w:semiHidden/>
    <w:rsid w:val="00A01250"/>
    <w:rPr>
      <w:szCs w:val="20"/>
    </w:rPr>
  </w:style>
  <w:style w:type="character" w:customStyle="1" w:styleId="EndnoteTextChar">
    <w:name w:val="Endnote Text Char"/>
    <w:basedOn w:val="DefaultParagraphFont"/>
    <w:link w:val="EndnoteText"/>
    <w:uiPriority w:val="99"/>
    <w:semiHidden/>
    <w:rPr>
      <w:rFonts w:cs="Narkisim"/>
      <w:sz w:val="20"/>
      <w:szCs w:val="20"/>
    </w:rPr>
  </w:style>
  <w:style w:type="character" w:styleId="EndnoteReference">
    <w:name w:val="endnote reference"/>
    <w:basedOn w:val="DefaultParagraphFont"/>
    <w:uiPriority w:val="99"/>
    <w:semiHidden/>
    <w:rsid w:val="00A0125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rPr>
      <w:rFonts w:cs="Narkisim"/>
      <w:sz w:val="20"/>
      <w:szCs w:val="2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cs="Narkisim"/>
      <w:sz w:val="20"/>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a0">
    <w:name w:val="ציטוט"/>
    <w:basedOn w:val="Normal"/>
    <w:uiPriority w:val="99"/>
    <w:rsid w:val="00CA4E9E"/>
    <w:pPr>
      <w:tabs>
        <w:tab w:val="right" w:pos="4620"/>
      </w:tabs>
      <w:ind w:left="567"/>
    </w:pPr>
  </w:style>
  <w:style w:type="paragraph" w:customStyle="1" w:styleId="a1">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1"/>
    <w:uiPriority w:val="99"/>
    <w:pPr>
      <w:spacing w:after="60"/>
    </w:pPr>
    <w:rPr>
      <w:sz w:val="26"/>
      <w:szCs w:val="28"/>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rPr>
      <w:rFonts w:cs="Narkisim"/>
      <w:sz w:val="20"/>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rPr>
      <w:rFonts w:cs="Narkisim"/>
      <w:sz w:val="20"/>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rPr>
      <w:rFonts w:cs="Narkisim"/>
      <w:sz w:val="16"/>
      <w:szCs w:val="16"/>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rPr>
      <w:rFonts w:cs="Narkisim"/>
      <w:sz w:val="20"/>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
    <w:name w:val="סגנון1"/>
    <w:basedOn w:val="a0"/>
    <w:uiPriority w:val="99"/>
  </w:style>
  <w:style w:type="paragraph" w:customStyle="1" w:styleId="20">
    <w:name w:val="סגנון2"/>
    <w:basedOn w:val="a0"/>
    <w:uiPriority w:val="99"/>
  </w:style>
  <w:style w:type="paragraph" w:customStyle="1" w:styleId="30">
    <w:name w:val="סגנון3"/>
    <w:basedOn w:val="Normal"/>
    <w:uiPriority w:val="99"/>
    <w:rPr>
      <w:sz w:val="21"/>
    </w:rPr>
  </w:style>
  <w:style w:type="paragraph" w:customStyle="1" w:styleId="a3">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quotation">
    <w:name w:val="quotation"/>
    <w:basedOn w:val="Normal"/>
    <w:uiPriority w:val="99"/>
    <w:rsid w:val="008C6D8D"/>
    <w:pPr>
      <w:spacing w:after="0" w:line="240" w:lineRule="auto"/>
      <w:ind w:left="851" w:right="851"/>
    </w:pPr>
    <w:rPr>
      <w:rFonts w:ascii="Courier New" w:hAnsi="Courier New" w:cs="Miriam"/>
      <w:sz w:val="24"/>
    </w:rPr>
  </w:style>
  <w:style w:type="paragraph" w:styleId="EndnoteText">
    <w:name w:val="endnote text"/>
    <w:basedOn w:val="Normal"/>
    <w:link w:val="EndnoteTextChar"/>
    <w:uiPriority w:val="99"/>
    <w:semiHidden/>
    <w:rsid w:val="00A01250"/>
    <w:rPr>
      <w:szCs w:val="20"/>
    </w:rPr>
  </w:style>
  <w:style w:type="character" w:customStyle="1" w:styleId="EndnoteTextChar">
    <w:name w:val="Endnote Text Char"/>
    <w:basedOn w:val="DefaultParagraphFont"/>
    <w:link w:val="EndnoteText"/>
    <w:uiPriority w:val="99"/>
    <w:semiHidden/>
    <w:rPr>
      <w:rFonts w:cs="Narkisim"/>
      <w:sz w:val="20"/>
      <w:szCs w:val="20"/>
    </w:rPr>
  </w:style>
  <w:style w:type="character" w:styleId="EndnoteReference">
    <w:name w:val="endnote reference"/>
    <w:basedOn w:val="DefaultParagraphFont"/>
    <w:uiPriority w:val="99"/>
    <w:semiHidden/>
    <w:rsid w:val="00A0125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2030</Words>
  <Characters>9262</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11270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4</cp:revision>
  <cp:lastPrinted>2005-12-27T02:53:00Z</cp:lastPrinted>
  <dcterms:created xsi:type="dcterms:W3CDTF">2019-05-08T08:41:00Z</dcterms:created>
  <dcterms:modified xsi:type="dcterms:W3CDTF">2019-05-15T08:01:00Z</dcterms:modified>
</cp:coreProperties>
</file>