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418" w:rsidRPr="0058123C" w:rsidRDefault="003E3FC5" w:rsidP="00906BAF">
      <w:pPr>
        <w:spacing w:after="0" w:line="240" w:lineRule="auto"/>
        <w:jc w:val="center"/>
        <w:rPr>
          <w:rFonts w:ascii="Arial" w:hAnsi="Arial"/>
          <w:b/>
          <w:bCs/>
          <w:sz w:val="24"/>
          <w:szCs w:val="24"/>
        </w:rPr>
      </w:pPr>
      <w:r w:rsidRPr="003E3FC5">
        <w:rPr>
          <w:rFonts w:ascii="Arial" w:hAnsi="Arial"/>
          <w:b/>
          <w:bCs/>
          <w:sz w:val="24"/>
          <w:szCs w:val="24"/>
        </w:rPr>
        <w:t xml:space="preserve">Where is </w:t>
      </w:r>
      <w:r w:rsidR="008C2418" w:rsidRPr="003E3FC5">
        <w:rPr>
          <w:rFonts w:ascii="Arial" w:hAnsi="Arial"/>
          <w:b/>
          <w:bCs/>
          <w:sz w:val="24"/>
          <w:szCs w:val="24"/>
        </w:rPr>
        <w:t>Mo</w:t>
      </w:r>
      <w:r>
        <w:rPr>
          <w:rFonts w:ascii="Arial" w:hAnsi="Arial"/>
          <w:b/>
          <w:bCs/>
          <w:sz w:val="24"/>
          <w:szCs w:val="24"/>
        </w:rPr>
        <w:t>diin?</w:t>
      </w:r>
    </w:p>
    <w:p w:rsidR="003E3FC5" w:rsidRDefault="003E3FC5" w:rsidP="00906BAF">
      <w:pPr>
        <w:spacing w:after="0" w:line="240" w:lineRule="auto"/>
        <w:jc w:val="center"/>
        <w:rPr>
          <w:rFonts w:ascii="Arial" w:hAnsi="Arial"/>
          <w:b/>
          <w:bCs/>
          <w:sz w:val="24"/>
          <w:szCs w:val="24"/>
        </w:rPr>
      </w:pPr>
    </w:p>
    <w:p w:rsidR="008C2418" w:rsidRPr="0058123C" w:rsidRDefault="008C2418" w:rsidP="00906BAF">
      <w:pPr>
        <w:spacing w:after="0" w:line="240" w:lineRule="auto"/>
        <w:jc w:val="center"/>
        <w:rPr>
          <w:rFonts w:ascii="Arial" w:hAnsi="Arial"/>
          <w:b/>
          <w:bCs/>
          <w:sz w:val="24"/>
          <w:szCs w:val="24"/>
        </w:rPr>
      </w:pPr>
      <w:r w:rsidRPr="0058123C">
        <w:rPr>
          <w:rFonts w:ascii="Arial" w:hAnsi="Arial"/>
          <w:b/>
          <w:bCs/>
          <w:sz w:val="24"/>
          <w:szCs w:val="24"/>
        </w:rPr>
        <w:t xml:space="preserve">By </w:t>
      </w:r>
      <w:r>
        <w:rPr>
          <w:rFonts w:ascii="Arial" w:hAnsi="Arial"/>
          <w:b/>
          <w:bCs/>
          <w:sz w:val="24"/>
          <w:szCs w:val="24"/>
        </w:rPr>
        <w:t>Prof.</w:t>
      </w:r>
      <w:r w:rsidRPr="0058123C">
        <w:rPr>
          <w:rFonts w:ascii="Arial" w:hAnsi="Arial"/>
          <w:b/>
          <w:bCs/>
          <w:sz w:val="24"/>
          <w:szCs w:val="24"/>
        </w:rPr>
        <w:t xml:space="preserve"> Yoel Elitzur</w:t>
      </w:r>
    </w:p>
    <w:p w:rsidR="008C2418" w:rsidRDefault="003E3FC5" w:rsidP="00906BAF">
      <w:pPr>
        <w:spacing w:after="0" w:line="240" w:lineRule="auto"/>
        <w:jc w:val="center"/>
        <w:rPr>
          <w:rFonts w:ascii="Arial" w:hAnsi="Arial"/>
          <w:sz w:val="24"/>
          <w:szCs w:val="24"/>
        </w:rPr>
      </w:pPr>
      <w:r>
        <w:rPr>
          <w:rFonts w:ascii="Arial" w:hAnsi="Arial"/>
          <w:sz w:val="24"/>
          <w:szCs w:val="24"/>
        </w:rPr>
        <w:t>Translated by Daniel Landman</w:t>
      </w:r>
    </w:p>
    <w:p w:rsidR="008C2418" w:rsidRPr="00FC7BF8" w:rsidRDefault="008C2418" w:rsidP="00906BAF">
      <w:pPr>
        <w:spacing w:after="0" w:line="240" w:lineRule="auto"/>
        <w:jc w:val="center"/>
        <w:rPr>
          <w:rFonts w:ascii="Arial" w:hAnsi="Arial"/>
          <w:sz w:val="24"/>
          <w:szCs w:val="24"/>
        </w:rPr>
      </w:pPr>
    </w:p>
    <w:p w:rsidR="008C2418" w:rsidRPr="00FC7BF8" w:rsidRDefault="008C2418" w:rsidP="00906BAF">
      <w:pPr>
        <w:spacing w:after="0" w:line="240" w:lineRule="auto"/>
        <w:ind w:firstLine="720"/>
        <w:jc w:val="both"/>
        <w:rPr>
          <w:rFonts w:ascii="Arial" w:hAnsi="Arial"/>
          <w:sz w:val="24"/>
          <w:szCs w:val="24"/>
        </w:rPr>
      </w:pPr>
      <w:r w:rsidRPr="00FC7BF8">
        <w:rPr>
          <w:rFonts w:ascii="Arial" w:hAnsi="Arial"/>
          <w:sz w:val="24"/>
          <w:szCs w:val="24"/>
        </w:rPr>
        <w:t xml:space="preserve">“In those days arose Mattathias the son of </w:t>
      </w:r>
      <w:r>
        <w:rPr>
          <w:rFonts w:ascii="Arial" w:hAnsi="Arial"/>
          <w:sz w:val="24"/>
          <w:szCs w:val="24"/>
        </w:rPr>
        <w:t>Johanan</w:t>
      </w:r>
      <w:r w:rsidRPr="00FC7BF8">
        <w:rPr>
          <w:rFonts w:ascii="Arial" w:hAnsi="Arial"/>
          <w:sz w:val="24"/>
          <w:szCs w:val="24"/>
        </w:rPr>
        <w:t xml:space="preserve">, the son of Simeon, a priest of the sons of Joarib, from </w:t>
      </w:r>
      <w:smartTag w:uri="urn:schemas-microsoft-com:office:smarttags" w:element="place">
        <w:smartTag w:uri="urn:schemas-microsoft-com:office:smarttags" w:element="City">
          <w:r w:rsidRPr="00FC7BF8">
            <w:rPr>
              <w:rFonts w:ascii="Arial" w:hAnsi="Arial"/>
              <w:sz w:val="24"/>
              <w:szCs w:val="24"/>
            </w:rPr>
            <w:t>Jerusalem</w:t>
          </w:r>
        </w:smartTag>
      </w:smartTag>
      <w:r w:rsidRPr="00FC7BF8">
        <w:rPr>
          <w:rFonts w:ascii="Arial" w:hAnsi="Arial"/>
          <w:sz w:val="24"/>
          <w:szCs w:val="24"/>
        </w:rPr>
        <w:t>, and dwelt in Mo</w:t>
      </w:r>
      <w:r w:rsidR="003E3FC5">
        <w:rPr>
          <w:rFonts w:ascii="Arial" w:hAnsi="Arial"/>
          <w:sz w:val="24"/>
          <w:szCs w:val="24"/>
        </w:rPr>
        <w:t>diin</w:t>
      </w:r>
      <w:r w:rsidRPr="00FC7BF8">
        <w:rPr>
          <w:rFonts w:ascii="Arial" w:hAnsi="Arial"/>
          <w:sz w:val="24"/>
          <w:szCs w:val="24"/>
        </w:rPr>
        <w:t>” (I Maccabees 2:1). When Judah and his brothers died, they were buried in Mo</w:t>
      </w:r>
      <w:r w:rsidR="003E3FC5">
        <w:rPr>
          <w:rFonts w:ascii="Arial" w:hAnsi="Arial"/>
          <w:sz w:val="24"/>
          <w:szCs w:val="24"/>
        </w:rPr>
        <w:t>diin</w:t>
      </w:r>
      <w:r w:rsidRPr="00FC7BF8">
        <w:rPr>
          <w:rFonts w:ascii="Arial" w:hAnsi="Arial"/>
          <w:sz w:val="24"/>
          <w:szCs w:val="24"/>
        </w:rPr>
        <w:t>, in an ancestral tomb. But where is Mo</w:t>
      </w:r>
      <w:r w:rsidR="003E3FC5">
        <w:rPr>
          <w:rFonts w:ascii="Arial" w:hAnsi="Arial"/>
          <w:sz w:val="24"/>
          <w:szCs w:val="24"/>
        </w:rPr>
        <w:t>diin</w:t>
      </w:r>
      <w:r w:rsidRPr="00FC7BF8">
        <w:rPr>
          <w:rFonts w:ascii="Arial" w:hAnsi="Arial"/>
          <w:sz w:val="24"/>
          <w:szCs w:val="24"/>
        </w:rPr>
        <w:t>?</w:t>
      </w:r>
    </w:p>
    <w:p w:rsidR="008C2418" w:rsidRPr="00FC7BF8" w:rsidRDefault="008C2418" w:rsidP="00906BAF">
      <w:pPr>
        <w:spacing w:after="0" w:line="240" w:lineRule="auto"/>
        <w:ind w:firstLine="720"/>
        <w:jc w:val="both"/>
        <w:rPr>
          <w:rFonts w:ascii="Arial" w:hAnsi="Arial"/>
          <w:sz w:val="24"/>
          <w:szCs w:val="24"/>
        </w:rPr>
      </w:pPr>
    </w:p>
    <w:p w:rsidR="008C2418" w:rsidRPr="00FC7BF8" w:rsidRDefault="008C2418" w:rsidP="00906BAF">
      <w:pPr>
        <w:spacing w:after="0" w:line="240" w:lineRule="auto"/>
        <w:ind w:firstLine="720"/>
        <w:jc w:val="both"/>
        <w:rPr>
          <w:rFonts w:ascii="Arial" w:hAnsi="Arial"/>
          <w:sz w:val="24"/>
          <w:szCs w:val="24"/>
        </w:rPr>
      </w:pPr>
      <w:r w:rsidRPr="00FC7BF8">
        <w:rPr>
          <w:rFonts w:ascii="Arial" w:hAnsi="Arial"/>
          <w:sz w:val="24"/>
          <w:szCs w:val="24"/>
        </w:rPr>
        <w:t xml:space="preserve">Today, it seems strange to even ask such a question. There is a large city in </w:t>
      </w:r>
      <w:smartTag w:uri="urn:schemas-microsoft-com:office:smarttags" w:element="place">
        <w:smartTag w:uri="urn:schemas-microsoft-com:office:smarttags" w:element="country-region">
          <w:r w:rsidRPr="00FC7BF8">
            <w:rPr>
              <w:rFonts w:ascii="Arial" w:hAnsi="Arial"/>
              <w:sz w:val="24"/>
              <w:szCs w:val="24"/>
            </w:rPr>
            <w:t>Israel</w:t>
          </w:r>
        </w:smartTag>
      </w:smartTag>
      <w:r w:rsidRPr="00FC7BF8">
        <w:rPr>
          <w:rFonts w:ascii="Arial" w:hAnsi="Arial"/>
          <w:sz w:val="24"/>
          <w:szCs w:val="24"/>
        </w:rPr>
        <w:t xml:space="preserve"> known as Mo</w:t>
      </w:r>
      <w:r w:rsidR="003E3FC5">
        <w:rPr>
          <w:rFonts w:ascii="Arial" w:hAnsi="Arial"/>
          <w:sz w:val="24"/>
          <w:szCs w:val="24"/>
        </w:rPr>
        <w:t>diin</w:t>
      </w:r>
      <w:r w:rsidRPr="00FC7BF8">
        <w:rPr>
          <w:rFonts w:ascii="Arial" w:hAnsi="Arial"/>
          <w:sz w:val="24"/>
          <w:szCs w:val="24"/>
        </w:rPr>
        <w:t xml:space="preserve">, in whose vicinity lie towns with names like Matityahu, Hashmonaim and Maccabim, as well as a historical site </w:t>
      </w:r>
      <w:r>
        <w:rPr>
          <w:rFonts w:ascii="Arial" w:hAnsi="Arial"/>
          <w:sz w:val="24"/>
          <w:szCs w:val="24"/>
        </w:rPr>
        <w:t xml:space="preserve">known as the </w:t>
      </w:r>
      <w:r w:rsidRPr="00FC7BF8">
        <w:rPr>
          <w:rFonts w:ascii="Arial" w:hAnsi="Arial"/>
          <w:sz w:val="24"/>
          <w:szCs w:val="24"/>
        </w:rPr>
        <w:t>Tombs</w:t>
      </w:r>
      <w:r>
        <w:rPr>
          <w:rFonts w:ascii="Arial" w:hAnsi="Arial"/>
          <w:sz w:val="24"/>
          <w:szCs w:val="24"/>
        </w:rPr>
        <w:t xml:space="preserve"> of the Maccabees</w:t>
      </w:r>
      <w:r w:rsidRPr="00FC7BF8">
        <w:rPr>
          <w:rFonts w:ascii="Arial" w:hAnsi="Arial"/>
          <w:sz w:val="24"/>
          <w:szCs w:val="24"/>
        </w:rPr>
        <w:t>. It seems clear, then, that this region is where ancient Mo</w:t>
      </w:r>
      <w:r w:rsidR="003E3FC5">
        <w:rPr>
          <w:rFonts w:ascii="Arial" w:hAnsi="Arial"/>
          <w:sz w:val="24"/>
          <w:szCs w:val="24"/>
        </w:rPr>
        <w:t>diin</w:t>
      </w:r>
      <w:r w:rsidRPr="00FC7BF8">
        <w:rPr>
          <w:rFonts w:ascii="Arial" w:hAnsi="Arial"/>
          <w:sz w:val="24"/>
          <w:szCs w:val="24"/>
        </w:rPr>
        <w:t xml:space="preserve"> was located. But is this actually true? What is the source of this identification?</w:t>
      </w:r>
    </w:p>
    <w:p w:rsidR="008C2418" w:rsidRPr="00FC7BF8" w:rsidRDefault="008C2418" w:rsidP="00906BAF">
      <w:pPr>
        <w:spacing w:after="0" w:line="240" w:lineRule="auto"/>
        <w:ind w:firstLine="720"/>
        <w:jc w:val="both"/>
        <w:rPr>
          <w:rFonts w:ascii="Arial" w:hAnsi="Arial"/>
          <w:sz w:val="24"/>
          <w:szCs w:val="24"/>
        </w:rPr>
      </w:pPr>
    </w:p>
    <w:p w:rsidR="008C2418" w:rsidRPr="00FC7BF8" w:rsidRDefault="008C2418" w:rsidP="00906BAF">
      <w:pPr>
        <w:spacing w:after="0" w:line="240" w:lineRule="auto"/>
        <w:ind w:firstLine="720"/>
        <w:jc w:val="both"/>
        <w:rPr>
          <w:rFonts w:ascii="Arial" w:hAnsi="Arial"/>
          <w:sz w:val="24"/>
          <w:szCs w:val="24"/>
        </w:rPr>
      </w:pPr>
      <w:r w:rsidRPr="00FC7BF8">
        <w:rPr>
          <w:rFonts w:ascii="Arial" w:hAnsi="Arial"/>
          <w:sz w:val="24"/>
          <w:szCs w:val="24"/>
        </w:rPr>
        <w:t>In reality, the connection between ancient Mo</w:t>
      </w:r>
      <w:r w:rsidR="003E3FC5">
        <w:rPr>
          <w:rFonts w:ascii="Arial" w:hAnsi="Arial"/>
          <w:sz w:val="24"/>
          <w:szCs w:val="24"/>
        </w:rPr>
        <w:t>diin</w:t>
      </w:r>
      <w:r w:rsidRPr="00FC7BF8">
        <w:rPr>
          <w:rFonts w:ascii="Arial" w:hAnsi="Arial"/>
          <w:sz w:val="24"/>
          <w:szCs w:val="24"/>
        </w:rPr>
        <w:t xml:space="preserve"> and its modern-day counterpart is not so simple. The identification is based on several sources.</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b/>
          <w:bCs/>
          <w:sz w:val="24"/>
          <w:szCs w:val="24"/>
        </w:rPr>
      </w:pPr>
      <w:r w:rsidRPr="00FC7BF8">
        <w:rPr>
          <w:rFonts w:ascii="Arial" w:hAnsi="Arial"/>
          <w:b/>
          <w:bCs/>
          <w:sz w:val="24"/>
          <w:szCs w:val="24"/>
        </w:rPr>
        <w:t>Sources that Seem to Place Mo</w:t>
      </w:r>
      <w:r w:rsidR="003E3FC5">
        <w:rPr>
          <w:rFonts w:ascii="Arial" w:hAnsi="Arial"/>
          <w:b/>
          <w:bCs/>
          <w:sz w:val="24"/>
          <w:szCs w:val="24"/>
        </w:rPr>
        <w:t>diin</w:t>
      </w:r>
      <w:r w:rsidRPr="00FC7BF8">
        <w:rPr>
          <w:rFonts w:ascii="Arial" w:hAnsi="Arial"/>
          <w:b/>
          <w:bCs/>
          <w:sz w:val="24"/>
          <w:szCs w:val="24"/>
        </w:rPr>
        <w:t xml:space="preserve"> in the Eastern Part of Shephelat Lod </w:t>
      </w:r>
    </w:p>
    <w:p w:rsidR="008C2418" w:rsidRPr="00FC7BF8" w:rsidRDefault="008C2418" w:rsidP="00906BAF">
      <w:pPr>
        <w:spacing w:after="0" w:line="240" w:lineRule="auto"/>
        <w:jc w:val="both"/>
        <w:rPr>
          <w:rFonts w:ascii="Arial" w:hAnsi="Arial"/>
          <w:b/>
          <w:bCs/>
          <w:sz w:val="24"/>
          <w:szCs w:val="24"/>
        </w:rPr>
      </w:pPr>
    </w:p>
    <w:p w:rsidR="008C2418" w:rsidRPr="00FC7BF8" w:rsidRDefault="008C2418" w:rsidP="00906BAF">
      <w:pPr>
        <w:spacing w:after="0" w:line="240" w:lineRule="auto"/>
        <w:ind w:firstLine="720"/>
        <w:jc w:val="both"/>
        <w:rPr>
          <w:rFonts w:ascii="Arial" w:hAnsi="Arial"/>
          <w:sz w:val="24"/>
          <w:szCs w:val="24"/>
        </w:rPr>
      </w:pPr>
      <w:r w:rsidRPr="00FC7BF8">
        <w:rPr>
          <w:rFonts w:ascii="Arial" w:hAnsi="Arial"/>
          <w:sz w:val="24"/>
          <w:szCs w:val="24"/>
        </w:rPr>
        <w:t>Let us begin with the book of Maccabees. Following the death of the High Priest Jonathan, who had been betrayed and captured by the Seleucid</w:t>
      </w:r>
      <w:r>
        <w:rPr>
          <w:rFonts w:ascii="Arial" w:hAnsi="Arial"/>
          <w:sz w:val="24"/>
          <w:szCs w:val="24"/>
        </w:rPr>
        <w:t xml:space="preserve"> ruler</w:t>
      </w:r>
      <w:r w:rsidRPr="00FC7BF8">
        <w:rPr>
          <w:rFonts w:ascii="Arial" w:hAnsi="Arial"/>
          <w:sz w:val="24"/>
          <w:szCs w:val="24"/>
        </w:rPr>
        <w:t xml:space="preserve"> Diodotus Tryphon, we read:</w:t>
      </w:r>
    </w:p>
    <w:p w:rsidR="008C2418" w:rsidRPr="00FC7BF8" w:rsidRDefault="008C2418" w:rsidP="00906BAF">
      <w:pPr>
        <w:spacing w:after="0" w:line="240" w:lineRule="auto"/>
        <w:ind w:firstLine="720"/>
        <w:jc w:val="both"/>
        <w:rPr>
          <w:rFonts w:ascii="Arial" w:hAnsi="Arial"/>
          <w:sz w:val="24"/>
          <w:szCs w:val="24"/>
        </w:rPr>
      </w:pPr>
    </w:p>
    <w:p w:rsidR="008C2418" w:rsidRPr="00FC7BF8" w:rsidRDefault="008C2418" w:rsidP="00906BAF">
      <w:pPr>
        <w:spacing w:after="0" w:line="240" w:lineRule="auto"/>
        <w:ind w:left="851"/>
        <w:jc w:val="both"/>
        <w:rPr>
          <w:rFonts w:ascii="Arial" w:hAnsi="Arial"/>
          <w:sz w:val="24"/>
          <w:szCs w:val="24"/>
        </w:rPr>
      </w:pPr>
      <w:r w:rsidRPr="00FC7BF8">
        <w:rPr>
          <w:rFonts w:ascii="Arial" w:hAnsi="Arial"/>
          <w:sz w:val="24"/>
          <w:szCs w:val="24"/>
        </w:rPr>
        <w:t>Then sent Simon, and took the bones of Jonathan his brother, and buried them in Mo</w:t>
      </w:r>
      <w:r w:rsidR="003E3FC5">
        <w:rPr>
          <w:rFonts w:ascii="Arial" w:hAnsi="Arial"/>
          <w:sz w:val="24"/>
          <w:szCs w:val="24"/>
        </w:rPr>
        <w:t>diin</w:t>
      </w:r>
      <w:r w:rsidRPr="00FC7BF8">
        <w:rPr>
          <w:rFonts w:ascii="Arial" w:hAnsi="Arial"/>
          <w:sz w:val="24"/>
          <w:szCs w:val="24"/>
        </w:rPr>
        <w:t>, the city of his fathers… Simon also built a monument upon the tomb of his father and his brothers, and raised it aloft for all to see, of hewn stone behind and before. Moreover he set up seven pyramids, one against another, for his father, and his mother, and his four brothers. And in these he made cunning devices, about which he set great pillars, and upon the pillars he made all their armor for a perpetual memory, and by the armor ships carved, that they might be seen by all that sail on the sea. This is the tomb which he made at Mo</w:t>
      </w:r>
      <w:r w:rsidR="003E3FC5">
        <w:rPr>
          <w:rFonts w:ascii="Arial" w:hAnsi="Arial"/>
          <w:sz w:val="24"/>
          <w:szCs w:val="24"/>
        </w:rPr>
        <w:t>diin</w:t>
      </w:r>
      <w:r w:rsidRPr="00FC7BF8">
        <w:rPr>
          <w:rFonts w:ascii="Arial" w:hAnsi="Arial"/>
          <w:sz w:val="24"/>
          <w:szCs w:val="24"/>
        </w:rPr>
        <w:t>, and it stands yet until this day. (I Maccabees 13:25-30)</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According to Maccabees, Simon built a magnificent burial complex, with seven pyramids atop the tombs and carved pillars depicting weapons, armor and ships. But the interesting part of this passage for our purposes is the ending: “that they might be seen by all that sail on the sea” and “until this day.”</w:t>
      </w:r>
    </w:p>
    <w:p w:rsidR="008C2418" w:rsidRPr="00FC7BF8" w:rsidRDefault="008C2418" w:rsidP="00906BAF">
      <w:pPr>
        <w:spacing w:after="0" w:line="240" w:lineRule="auto"/>
        <w:jc w:val="both"/>
        <w:rPr>
          <w:rFonts w:ascii="Arial" w:hAnsi="Arial"/>
          <w:sz w:val="24"/>
          <w:szCs w:val="24"/>
        </w:rPr>
      </w:pPr>
    </w:p>
    <w:p w:rsidR="008C2418" w:rsidRDefault="008C2418" w:rsidP="00C2184D">
      <w:pPr>
        <w:spacing w:after="0" w:line="240" w:lineRule="auto"/>
        <w:jc w:val="both"/>
        <w:rPr>
          <w:rFonts w:ascii="Arial" w:hAnsi="Arial"/>
          <w:sz w:val="24"/>
          <w:szCs w:val="24"/>
          <w:rtl/>
        </w:rPr>
      </w:pPr>
      <w:r w:rsidRPr="00FC7BF8">
        <w:rPr>
          <w:rFonts w:ascii="Arial" w:hAnsi="Arial"/>
          <w:sz w:val="24"/>
          <w:szCs w:val="24"/>
        </w:rPr>
        <w:tab/>
        <w:t xml:space="preserve">The words “until this day” refer to the time when I Maccabees was written, namely, several decades following the events recounted in the book. But later authors also seem to be familiar with the location. In Josephus’s </w:t>
      </w:r>
      <w:r w:rsidRPr="00FC7BF8">
        <w:rPr>
          <w:rFonts w:ascii="Arial" w:hAnsi="Arial"/>
          <w:i/>
          <w:iCs/>
          <w:sz w:val="24"/>
          <w:szCs w:val="24"/>
        </w:rPr>
        <w:t>Antiquities of the Jews</w:t>
      </w:r>
      <w:r w:rsidRPr="00FC7BF8">
        <w:rPr>
          <w:rFonts w:ascii="Arial" w:hAnsi="Arial"/>
          <w:sz w:val="24"/>
          <w:szCs w:val="24"/>
        </w:rPr>
        <w:t xml:space="preserve">, he writes: “Moreover, he built seven pyramids also for his parents and his brothers, one for each of them, which were made remarkably, both for their size </w:t>
      </w:r>
      <w:r w:rsidRPr="00FC7BF8">
        <w:rPr>
          <w:rFonts w:ascii="Arial" w:hAnsi="Arial"/>
          <w:sz w:val="24"/>
          <w:szCs w:val="24"/>
        </w:rPr>
        <w:lastRenderedPageBreak/>
        <w:t>and beauty, and which have been preserved to this day” (13:</w:t>
      </w:r>
      <w:r>
        <w:rPr>
          <w:rFonts w:ascii="Arial" w:hAnsi="Arial"/>
          <w:sz w:val="24"/>
          <w:szCs w:val="24"/>
        </w:rPr>
        <w:t>211</w:t>
      </w:r>
      <w:r w:rsidRPr="00FC7BF8">
        <w:rPr>
          <w:rFonts w:ascii="Arial" w:hAnsi="Arial"/>
          <w:sz w:val="24"/>
          <w:szCs w:val="24"/>
        </w:rPr>
        <w:t>). Apparently even in Josephus’s time – in other words, after the destruction of the Second Temple – Simon’s burial complex at Mo</w:t>
      </w:r>
      <w:r w:rsidR="003E3FC5">
        <w:rPr>
          <w:rFonts w:ascii="Arial" w:hAnsi="Arial"/>
          <w:sz w:val="24"/>
          <w:szCs w:val="24"/>
        </w:rPr>
        <w:t>diin</w:t>
      </w:r>
      <w:r w:rsidRPr="00FC7BF8">
        <w:rPr>
          <w:rFonts w:ascii="Arial" w:hAnsi="Arial"/>
          <w:sz w:val="24"/>
          <w:szCs w:val="24"/>
        </w:rPr>
        <w:t xml:space="preserve"> was still well known.</w:t>
      </w:r>
      <w:r>
        <w:rPr>
          <w:rFonts w:ascii="Arial" w:hAnsi="Arial"/>
          <w:sz w:val="24"/>
          <w:szCs w:val="24"/>
        </w:rPr>
        <w:t xml:space="preserve"> </w:t>
      </w:r>
    </w:p>
    <w:p w:rsidR="008C2418" w:rsidRPr="00FC7BF8" w:rsidRDefault="0077683B" w:rsidP="00906BAF">
      <w:pPr>
        <w:spacing w:after="0" w:line="240" w:lineRule="auto"/>
        <w:jc w:val="both"/>
        <w:rPr>
          <w:rFonts w:ascii="Arial" w:hAnsi="Arial"/>
          <w:sz w:val="24"/>
          <w:szCs w:val="24"/>
        </w:rPr>
      </w:pPr>
      <w:r>
        <w:rPr>
          <w:rFonts w:ascii="Arial" w:hAnsi="Arial"/>
          <w:noProof/>
          <w:sz w:val="24"/>
          <w:szCs w:val="24"/>
        </w:rPr>
        <w:drawing>
          <wp:inline distT="0" distB="0" distL="0" distR="0">
            <wp:extent cx="5568950" cy="5543550"/>
            <wp:effectExtent l="0" t="0" r="0" b="0"/>
            <wp:docPr id="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5543550"/>
                    </a:xfrm>
                    <a:prstGeom prst="rect">
                      <a:avLst/>
                    </a:prstGeom>
                    <a:noFill/>
                    <a:ln>
                      <a:noFill/>
                    </a:ln>
                  </pic:spPr>
                </pic:pic>
              </a:graphicData>
            </a:graphic>
          </wp:inline>
        </w:drawing>
      </w: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 xml:space="preserve">Today, we have not found any remnants of these seven adjacent pyramids anywhere in </w:t>
      </w:r>
      <w:smartTag w:uri="urn:schemas-microsoft-com:office:smarttags" w:element="place">
        <w:smartTag w:uri="urn:schemas-microsoft-com:office:smarttags" w:element="country-region">
          <w:r w:rsidRPr="00FC7BF8">
            <w:rPr>
              <w:rFonts w:ascii="Arial" w:hAnsi="Arial"/>
              <w:sz w:val="24"/>
              <w:szCs w:val="24"/>
            </w:rPr>
            <w:t>Israel</w:t>
          </w:r>
        </w:smartTag>
      </w:smartTag>
      <w:r w:rsidRPr="00FC7BF8">
        <w:rPr>
          <w:rFonts w:ascii="Arial" w:hAnsi="Arial"/>
          <w:sz w:val="24"/>
          <w:szCs w:val="24"/>
        </w:rPr>
        <w:t xml:space="preserve">. A nineteenth-century scholar named George Grove suggested that a vestige of these Maccabean tombs could be found in the name of the Arab village of al-Qubab (just east of Mishmar Ayalon and Kfar Bin Nun; abandoned in 1948). The word </w:t>
      </w:r>
      <w:r w:rsidRPr="00FC7BF8">
        <w:rPr>
          <w:rFonts w:ascii="Arial" w:hAnsi="Arial"/>
          <w:i/>
          <w:iCs/>
          <w:sz w:val="24"/>
          <w:szCs w:val="24"/>
        </w:rPr>
        <w:t>q</w:t>
      </w:r>
      <w:r w:rsidRPr="00FF5A92">
        <w:rPr>
          <w:rFonts w:ascii="Arial" w:hAnsi="Arial"/>
          <w:i/>
          <w:iCs/>
          <w:sz w:val="24"/>
          <w:szCs w:val="24"/>
        </w:rPr>
        <w:t>ub</w:t>
      </w:r>
      <w:r w:rsidRPr="00E95CD7">
        <w:rPr>
          <w:rFonts w:ascii="Arial" w:hAnsi="Arial"/>
          <w:i/>
          <w:iCs/>
          <w:sz w:val="24"/>
          <w:szCs w:val="24"/>
        </w:rPr>
        <w:t>ā</w:t>
      </w:r>
      <w:r w:rsidRPr="00FC7BF8">
        <w:rPr>
          <w:rFonts w:ascii="Arial" w:hAnsi="Arial"/>
          <w:i/>
          <w:iCs/>
          <w:sz w:val="24"/>
          <w:szCs w:val="24"/>
        </w:rPr>
        <w:t>b</w:t>
      </w:r>
      <w:r w:rsidRPr="00FC7BF8">
        <w:rPr>
          <w:rFonts w:ascii="Arial" w:hAnsi="Arial"/>
          <w:sz w:val="24"/>
          <w:szCs w:val="24"/>
        </w:rPr>
        <w:t xml:space="preserve"> is a plural form of </w:t>
      </w:r>
      <w:r w:rsidRPr="00FC7BF8">
        <w:rPr>
          <w:rFonts w:ascii="Arial" w:hAnsi="Arial"/>
          <w:i/>
          <w:iCs/>
          <w:sz w:val="24"/>
          <w:szCs w:val="24"/>
        </w:rPr>
        <w:t>qu</w:t>
      </w:r>
      <w:r>
        <w:rPr>
          <w:rFonts w:ascii="Arial" w:hAnsi="Arial"/>
          <w:i/>
          <w:iCs/>
          <w:sz w:val="24"/>
          <w:szCs w:val="24"/>
        </w:rPr>
        <w:t>b</w:t>
      </w:r>
      <w:r w:rsidRPr="00FC7BF8">
        <w:rPr>
          <w:rFonts w:ascii="Arial" w:hAnsi="Arial"/>
          <w:i/>
          <w:iCs/>
          <w:sz w:val="24"/>
          <w:szCs w:val="24"/>
        </w:rPr>
        <w:t>ba</w:t>
      </w:r>
      <w:r>
        <w:rPr>
          <w:rFonts w:ascii="Arial" w:hAnsi="Arial"/>
          <w:sz w:val="24"/>
          <w:szCs w:val="24"/>
        </w:rPr>
        <w:t xml:space="preserve"> “</w:t>
      </w:r>
      <w:r w:rsidRPr="00FC7BF8">
        <w:rPr>
          <w:rFonts w:ascii="Arial" w:hAnsi="Arial"/>
          <w:sz w:val="24"/>
          <w:szCs w:val="24"/>
        </w:rPr>
        <w:t>dome,</w:t>
      </w:r>
      <w:r>
        <w:rPr>
          <w:rFonts w:ascii="Arial" w:hAnsi="Arial"/>
          <w:sz w:val="24"/>
          <w:szCs w:val="24"/>
        </w:rPr>
        <w:t>”</w:t>
      </w:r>
      <w:r w:rsidRPr="00FC7BF8">
        <w:rPr>
          <w:rFonts w:ascii="Arial" w:hAnsi="Arial"/>
          <w:sz w:val="24"/>
          <w:szCs w:val="24"/>
        </w:rPr>
        <w:t xml:space="preserve"> which can be used to refer to a burial structure for an important person. Victor </w:t>
      </w:r>
      <w:r w:rsidRPr="00FC7BF8">
        <w:rPr>
          <w:rFonts w:ascii="Arial" w:hAnsi="Arial"/>
          <w:color w:val="252525"/>
          <w:sz w:val="24"/>
          <w:szCs w:val="24"/>
          <w:shd w:val="clear" w:color="auto" w:fill="FFFFFF"/>
        </w:rPr>
        <w:t>Guérin</w:t>
      </w:r>
      <w:r w:rsidRPr="00FC7BF8">
        <w:rPr>
          <w:rFonts w:ascii="Arial" w:hAnsi="Arial"/>
          <w:sz w:val="24"/>
          <w:szCs w:val="24"/>
        </w:rPr>
        <w:t xml:space="preserve"> rightfully rejected this highly dubious theory.</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 xml:space="preserve">The expression “that they might be seen by all that sail at sea” perhaps hints at a location that is not far from the sea. This would also fit with an elevated location within the inner Shephelah. To be fair, though, there is no solid proof for this speculation; some explain that the reference to “all that sail at sea” simply </w:t>
      </w:r>
      <w:r w:rsidRPr="00FC7BF8">
        <w:rPr>
          <w:rFonts w:ascii="Arial" w:hAnsi="Arial"/>
          <w:sz w:val="24"/>
          <w:szCs w:val="24"/>
        </w:rPr>
        <w:lastRenderedPageBreak/>
        <w:t>means that the intricately carved pillars, which depicted ships, tended to attract sailors.</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An additional, more explicit sourc</w:t>
      </w:r>
      <w:r>
        <w:rPr>
          <w:rFonts w:ascii="Arial" w:hAnsi="Arial"/>
          <w:sz w:val="24"/>
          <w:szCs w:val="24"/>
        </w:rPr>
        <w:t>e supporting the inner Shephela</w:t>
      </w:r>
      <w:r w:rsidRPr="00FC7BF8">
        <w:rPr>
          <w:rFonts w:ascii="Arial" w:hAnsi="Arial"/>
          <w:sz w:val="24"/>
          <w:szCs w:val="24"/>
        </w:rPr>
        <w:t xml:space="preserve"> theory can be found at the end of I Maccabees. In chapters 15-16, we read that Antiochus VII (Sidetes) demanded that Simon return to Seleucid hands Jaffa, Gezer and the Acra, a Jerusalem fortress built by Antiochus IV (Epiphanes). Simon refused, relaying the famous message to Antiochus’s envoy: </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ind w:left="851"/>
        <w:jc w:val="both"/>
        <w:rPr>
          <w:rFonts w:ascii="Arial" w:hAnsi="Arial"/>
          <w:sz w:val="24"/>
          <w:szCs w:val="24"/>
        </w:rPr>
      </w:pPr>
      <w:r w:rsidRPr="00FC7BF8">
        <w:rPr>
          <w:rFonts w:ascii="Arial" w:hAnsi="Arial"/>
          <w:sz w:val="24"/>
          <w:szCs w:val="24"/>
        </w:rPr>
        <w:t>We have neither taken other men’s land, nor held that which belongs to others, but the inheritance of our fathers, which our enemies had conquered wrongfully at a certain time. And we, having opportunity, hold the inheritance of our fathers. (I Maccabees 15:33-34)</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 xml:space="preserve">In response, Antiochus appointed the military leader Cendebeus commander of the coastal region and sent him to attack </w:t>
      </w:r>
      <w:smartTag w:uri="urn:schemas-microsoft-com:office:smarttags" w:element="place">
        <w:r w:rsidRPr="00FC7BF8">
          <w:rPr>
            <w:rFonts w:ascii="Arial" w:hAnsi="Arial"/>
            <w:sz w:val="24"/>
            <w:szCs w:val="24"/>
          </w:rPr>
          <w:t>Judea</w:t>
        </w:r>
      </w:smartTag>
      <w:r w:rsidRPr="00FC7BF8">
        <w:rPr>
          <w:rFonts w:ascii="Arial" w:hAnsi="Arial"/>
          <w:sz w:val="24"/>
          <w:szCs w:val="24"/>
        </w:rPr>
        <w:t>.</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In the course of the war narrative, the names Jamnia (Yavne</w:t>
      </w:r>
      <w:r>
        <w:rPr>
          <w:rFonts w:ascii="Arial" w:hAnsi="Arial"/>
          <w:sz w:val="24"/>
          <w:szCs w:val="24"/>
        </w:rPr>
        <w:t xml:space="preserve"> in Hebrew, today an Israeli city</w:t>
      </w:r>
      <w:r w:rsidRPr="00FC7BF8">
        <w:rPr>
          <w:rFonts w:ascii="Arial" w:hAnsi="Arial"/>
          <w:sz w:val="24"/>
          <w:szCs w:val="24"/>
        </w:rPr>
        <w:t xml:space="preserve">) and Cedron appear in connection with the Seleucids, and </w:t>
      </w:r>
      <w:smartTag w:uri="urn:schemas-microsoft-com:office:smarttags" w:element="place">
        <w:smartTag w:uri="urn:schemas-microsoft-com:office:smarttags" w:element="City">
          <w:r w:rsidRPr="00FC7BF8">
            <w:rPr>
              <w:rFonts w:ascii="Arial" w:hAnsi="Arial"/>
              <w:sz w:val="24"/>
              <w:szCs w:val="24"/>
            </w:rPr>
            <w:t>Gezer</w:t>
          </w:r>
        </w:smartTag>
      </w:smartTag>
      <w:r w:rsidRPr="00FC7BF8">
        <w:rPr>
          <w:rFonts w:ascii="Arial" w:hAnsi="Arial"/>
          <w:sz w:val="24"/>
          <w:szCs w:val="24"/>
        </w:rPr>
        <w:t xml:space="preserve"> and Mo</w:t>
      </w:r>
      <w:r w:rsidR="003E3FC5">
        <w:rPr>
          <w:rFonts w:ascii="Arial" w:hAnsi="Arial"/>
          <w:sz w:val="24"/>
          <w:szCs w:val="24"/>
        </w:rPr>
        <w:t>diin</w:t>
      </w:r>
      <w:r w:rsidRPr="00FC7BF8">
        <w:rPr>
          <w:rFonts w:ascii="Arial" w:hAnsi="Arial"/>
          <w:sz w:val="24"/>
          <w:szCs w:val="24"/>
        </w:rPr>
        <w:t xml:space="preserve"> in connection with the Jews. </w:t>
      </w:r>
      <w:r>
        <w:rPr>
          <w:rFonts w:ascii="Arial" w:hAnsi="Arial"/>
          <w:sz w:val="24"/>
          <w:szCs w:val="24"/>
        </w:rPr>
        <w:t>Johanan</w:t>
      </w:r>
      <w:r w:rsidRPr="00FC7BF8">
        <w:rPr>
          <w:rFonts w:ascii="Arial" w:hAnsi="Arial"/>
          <w:sz w:val="24"/>
          <w:szCs w:val="24"/>
        </w:rPr>
        <w:t xml:space="preserve"> Hyrcanus and Judah, the sons of Simon, led the fight against Cendebeus: </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ind w:left="851"/>
        <w:jc w:val="both"/>
        <w:rPr>
          <w:rFonts w:ascii="Arial" w:hAnsi="Arial"/>
          <w:sz w:val="24"/>
          <w:szCs w:val="24"/>
        </w:rPr>
      </w:pPr>
      <w:r w:rsidRPr="00FC7BF8">
        <w:rPr>
          <w:rFonts w:ascii="Arial" w:hAnsi="Arial"/>
          <w:sz w:val="24"/>
          <w:szCs w:val="24"/>
        </w:rPr>
        <w:t>They rested that night at Mo</w:t>
      </w:r>
      <w:r w:rsidR="003E3FC5">
        <w:rPr>
          <w:rFonts w:ascii="Arial" w:hAnsi="Arial"/>
          <w:sz w:val="24"/>
          <w:szCs w:val="24"/>
        </w:rPr>
        <w:t>diin</w:t>
      </w:r>
      <w:r w:rsidRPr="00FC7BF8">
        <w:rPr>
          <w:rFonts w:ascii="Arial" w:hAnsi="Arial"/>
          <w:sz w:val="24"/>
          <w:szCs w:val="24"/>
        </w:rPr>
        <w:t xml:space="preserve">. And when they rose in the morning, and went into the plain, behold, a mighty host both of footmen and horsemen came against them, and a brook was between them… and Cendebeus and his host were put to flight, so that many of them were slain, and the remnant fled to the stronghold… but </w:t>
      </w:r>
      <w:r>
        <w:rPr>
          <w:rFonts w:ascii="Arial" w:hAnsi="Arial"/>
          <w:sz w:val="24"/>
          <w:szCs w:val="24"/>
        </w:rPr>
        <w:t>Johanan</w:t>
      </w:r>
      <w:r w:rsidRPr="00FC7BF8">
        <w:rPr>
          <w:rFonts w:ascii="Arial" w:hAnsi="Arial"/>
          <w:sz w:val="24"/>
          <w:szCs w:val="24"/>
        </w:rPr>
        <w:t xml:space="preserve"> still followed after them, until he came to Cedron… So they fled to the towers in the fields of Azotus [</w:t>
      </w:r>
      <w:smartTag w:uri="urn:schemas-microsoft-com:office:smarttags" w:element="City">
        <w:smartTag w:uri="urn:schemas-microsoft-com:office:smarttags" w:element="place">
          <w:r w:rsidRPr="00FC7BF8">
            <w:rPr>
              <w:rFonts w:ascii="Arial" w:hAnsi="Arial"/>
              <w:sz w:val="24"/>
              <w:szCs w:val="24"/>
            </w:rPr>
            <w:t>Ashdod</w:t>
          </w:r>
        </w:smartTag>
      </w:smartTag>
      <w:r w:rsidRPr="00FC7BF8">
        <w:rPr>
          <w:rFonts w:ascii="Arial" w:hAnsi="Arial"/>
          <w:sz w:val="24"/>
          <w:szCs w:val="24"/>
        </w:rPr>
        <w:t>] where he burned it with fire. (16:4-10)</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pStyle w:val="FootnoteText"/>
        <w:jc w:val="both"/>
        <w:rPr>
          <w:rFonts w:ascii="Arial" w:hAnsi="Arial"/>
          <w:sz w:val="24"/>
          <w:szCs w:val="24"/>
        </w:rPr>
      </w:pPr>
      <w:r w:rsidRPr="00FC7BF8">
        <w:rPr>
          <w:rFonts w:ascii="Arial" w:hAnsi="Arial"/>
          <w:sz w:val="24"/>
          <w:szCs w:val="24"/>
        </w:rPr>
        <w:tab/>
        <w:t>The location of Cedron is not known with certainty. Many believe that Qatra, an Arab village that lay at the northern edge of Gedera before it was destroyed in 1948, preserved a remnant of Cedron in its name.</w:t>
      </w:r>
      <w:r>
        <w:rPr>
          <w:rFonts w:ascii="Arial" w:hAnsi="Arial"/>
          <w:sz w:val="24"/>
          <w:szCs w:val="24"/>
        </w:rPr>
        <w:t xml:space="preserve"> A similar</w:t>
      </w:r>
      <w:r w:rsidRPr="00FC7BF8">
        <w:rPr>
          <w:rFonts w:ascii="Arial" w:hAnsi="Arial"/>
          <w:sz w:val="24"/>
          <w:szCs w:val="24"/>
        </w:rPr>
        <w:t xml:space="preserve"> name</w:t>
      </w:r>
      <w:r>
        <w:rPr>
          <w:rFonts w:ascii="Arial" w:hAnsi="Arial"/>
          <w:sz w:val="24"/>
          <w:szCs w:val="24"/>
        </w:rPr>
        <w:t xml:space="preserve"> –</w:t>
      </w:r>
      <w:r w:rsidRPr="00FC7BF8">
        <w:rPr>
          <w:rFonts w:ascii="Arial" w:hAnsi="Arial"/>
          <w:sz w:val="24"/>
          <w:szCs w:val="24"/>
        </w:rPr>
        <w:t xml:space="preserve"> Gedrus </w:t>
      </w:r>
      <w:r>
        <w:rPr>
          <w:rFonts w:ascii="Arial" w:hAnsi="Arial"/>
          <w:sz w:val="24"/>
          <w:szCs w:val="24"/>
        </w:rPr>
        <w:t xml:space="preserve">(variants: Kedus, </w:t>
      </w:r>
      <w:r w:rsidRPr="00FC7BF8">
        <w:rPr>
          <w:rFonts w:ascii="Arial" w:hAnsi="Arial"/>
          <w:sz w:val="24"/>
          <w:szCs w:val="24"/>
        </w:rPr>
        <w:t>Cedrus</w:t>
      </w:r>
      <w:r>
        <w:rPr>
          <w:rFonts w:ascii="Arial" w:hAnsi="Arial"/>
          <w:sz w:val="24"/>
          <w:szCs w:val="24"/>
        </w:rPr>
        <w:t>) –</w:t>
      </w:r>
      <w:r w:rsidRPr="00FC7BF8">
        <w:rPr>
          <w:rFonts w:ascii="Arial" w:hAnsi="Arial"/>
          <w:sz w:val="24"/>
          <w:szCs w:val="24"/>
        </w:rPr>
        <w:t xml:space="preserve"> appear</w:t>
      </w:r>
      <w:r>
        <w:rPr>
          <w:rFonts w:ascii="Arial" w:hAnsi="Arial"/>
          <w:sz w:val="24"/>
          <w:szCs w:val="24"/>
        </w:rPr>
        <w:t>s</w:t>
      </w:r>
      <w:r w:rsidRPr="00FC7BF8">
        <w:rPr>
          <w:rFonts w:ascii="Arial" w:hAnsi="Arial"/>
          <w:sz w:val="24"/>
          <w:szCs w:val="24"/>
        </w:rPr>
        <w:t xml:space="preserve"> in Eusebius’s </w:t>
      </w:r>
      <w:r w:rsidRPr="00FC7BF8">
        <w:rPr>
          <w:rFonts w:ascii="Arial" w:hAnsi="Arial"/>
          <w:i/>
          <w:iCs/>
          <w:sz w:val="24"/>
          <w:szCs w:val="24"/>
        </w:rPr>
        <w:t>Onomasticon</w:t>
      </w:r>
      <w:r w:rsidRPr="00FC7BF8">
        <w:rPr>
          <w:rFonts w:ascii="Arial" w:hAnsi="Arial"/>
          <w:sz w:val="24"/>
          <w:szCs w:val="24"/>
        </w:rPr>
        <w:t xml:space="preserve"> (circa 320 CE): “There is now a large village [called] Gedrus ten miles from Diospolis on the road to Eleutheropolis [Beit Guvrin]”</w:t>
      </w:r>
      <w:r>
        <w:rPr>
          <w:rFonts w:ascii="Arial" w:hAnsi="Arial"/>
          <w:sz w:val="24"/>
          <w:szCs w:val="24"/>
        </w:rPr>
        <w:t xml:space="preserve"> (</w:t>
      </w:r>
      <w:r>
        <w:rPr>
          <w:rFonts w:ascii="Arial" w:hAnsi="Arial"/>
          <w:i/>
          <w:iCs/>
          <w:sz w:val="24"/>
          <w:szCs w:val="24"/>
        </w:rPr>
        <w:t>Onomasticon</w:t>
      </w:r>
      <w:r w:rsidRPr="00E95CD7">
        <w:rPr>
          <w:rFonts w:ascii="Arial" w:hAnsi="Arial"/>
          <w:sz w:val="24"/>
          <w:szCs w:val="24"/>
        </w:rPr>
        <w:t xml:space="preserve"> </w:t>
      </w:r>
      <w:r>
        <w:rPr>
          <w:rFonts w:ascii="Arial" w:hAnsi="Arial"/>
          <w:sz w:val="24"/>
          <w:szCs w:val="24"/>
        </w:rPr>
        <w:t>68:22-23).</w:t>
      </w:r>
      <w:r w:rsidRPr="00FC7BF8">
        <w:rPr>
          <w:rFonts w:ascii="Arial" w:hAnsi="Arial"/>
          <w:sz w:val="24"/>
          <w:szCs w:val="24"/>
        </w:rPr>
        <w:t xml:space="preserve"> Based on this identification,</w:t>
      </w:r>
      <w:r>
        <w:rPr>
          <w:rFonts w:ascii="Arial" w:hAnsi="Arial"/>
          <w:sz w:val="24"/>
          <w:szCs w:val="24"/>
        </w:rPr>
        <w:t xml:space="preserve"> a </w:t>
      </w:r>
      <w:r w:rsidRPr="00E95CD7">
        <w:rPr>
          <w:rFonts w:ascii="Arial" w:hAnsi="Arial"/>
          <w:i/>
          <w:iCs/>
          <w:sz w:val="24"/>
          <w:szCs w:val="24"/>
        </w:rPr>
        <w:t>moshav</w:t>
      </w:r>
      <w:r w:rsidRPr="00FC7BF8">
        <w:rPr>
          <w:rFonts w:ascii="Arial" w:hAnsi="Arial"/>
          <w:sz w:val="24"/>
          <w:szCs w:val="24"/>
        </w:rPr>
        <w:t xml:space="preserve"> established</w:t>
      </w:r>
      <w:r>
        <w:rPr>
          <w:rFonts w:ascii="Arial" w:hAnsi="Arial"/>
          <w:sz w:val="24"/>
          <w:szCs w:val="24"/>
        </w:rPr>
        <w:t xml:space="preserve"> in 1949</w:t>
      </w:r>
      <w:r w:rsidRPr="00FC7BF8">
        <w:rPr>
          <w:rFonts w:ascii="Arial" w:hAnsi="Arial"/>
          <w:sz w:val="24"/>
          <w:szCs w:val="24"/>
        </w:rPr>
        <w:t xml:space="preserve"> just east of that site was named Kidron. </w:t>
      </w:r>
    </w:p>
    <w:p w:rsidR="008C2418" w:rsidRPr="00FC7BF8" w:rsidRDefault="008C2418" w:rsidP="00906BAF">
      <w:pPr>
        <w:pStyle w:val="FootnoteText"/>
        <w:jc w:val="both"/>
        <w:rPr>
          <w:rFonts w:ascii="Arial" w:hAnsi="Arial"/>
          <w:sz w:val="24"/>
          <w:szCs w:val="24"/>
        </w:rPr>
      </w:pPr>
    </w:p>
    <w:p w:rsidR="008C2418" w:rsidRPr="00FC7BF8" w:rsidRDefault="008C2418" w:rsidP="00906BAF">
      <w:pPr>
        <w:pStyle w:val="FootnoteText"/>
        <w:ind w:firstLine="720"/>
        <w:jc w:val="both"/>
        <w:rPr>
          <w:rFonts w:ascii="Arial" w:hAnsi="Arial"/>
          <w:sz w:val="24"/>
          <w:szCs w:val="24"/>
        </w:rPr>
      </w:pPr>
      <w:r w:rsidRPr="00FC7BF8">
        <w:rPr>
          <w:rFonts w:ascii="Arial" w:hAnsi="Arial"/>
          <w:sz w:val="24"/>
          <w:szCs w:val="24"/>
        </w:rPr>
        <w:t>Whether or not there is actually a connection between Kidron and Qatra, it is clear from the geographical context that Cedron, the site mentioned in I Maccabees, was located in this general region. In light of this, we can reasonably assume that Mo</w:t>
      </w:r>
      <w:r w:rsidR="003E3FC5">
        <w:rPr>
          <w:rFonts w:ascii="Arial" w:hAnsi="Arial"/>
          <w:sz w:val="24"/>
          <w:szCs w:val="24"/>
        </w:rPr>
        <w:t>diin</w:t>
      </w:r>
      <w:r w:rsidRPr="00FC7BF8">
        <w:rPr>
          <w:rFonts w:ascii="Arial" w:hAnsi="Arial"/>
          <w:sz w:val="24"/>
          <w:szCs w:val="24"/>
        </w:rPr>
        <w:t xml:space="preserve"> was not far from there as well. The details of the narrative point to a location that borders on the plains but is itself located on the Judean hillsides.</w:t>
      </w:r>
    </w:p>
    <w:p w:rsidR="008C2418" w:rsidRPr="00FC7BF8" w:rsidRDefault="008C2418" w:rsidP="00906BAF">
      <w:pPr>
        <w:pStyle w:val="FootnoteText"/>
        <w:ind w:firstLine="720"/>
        <w:jc w:val="both"/>
        <w:rPr>
          <w:rFonts w:ascii="Arial" w:hAnsi="Arial"/>
          <w:sz w:val="24"/>
          <w:szCs w:val="24"/>
        </w:rPr>
      </w:pPr>
    </w:p>
    <w:p w:rsidR="008C2418" w:rsidRPr="00FC7BF8" w:rsidRDefault="008C2418" w:rsidP="00906BAF">
      <w:pPr>
        <w:pStyle w:val="FootnoteText"/>
        <w:ind w:firstLine="720"/>
        <w:jc w:val="both"/>
        <w:rPr>
          <w:rFonts w:ascii="Arial" w:hAnsi="Arial"/>
          <w:sz w:val="24"/>
          <w:szCs w:val="24"/>
        </w:rPr>
      </w:pPr>
      <w:r w:rsidRPr="00FC7BF8">
        <w:rPr>
          <w:rFonts w:ascii="Arial" w:hAnsi="Arial"/>
          <w:sz w:val="24"/>
          <w:szCs w:val="24"/>
        </w:rPr>
        <w:lastRenderedPageBreak/>
        <w:t xml:space="preserve">In the </w:t>
      </w:r>
      <w:r w:rsidRPr="00FC7BF8">
        <w:rPr>
          <w:rFonts w:ascii="Arial" w:hAnsi="Arial"/>
          <w:i/>
          <w:iCs/>
          <w:sz w:val="24"/>
          <w:szCs w:val="24"/>
        </w:rPr>
        <w:t>Onomasticon</w:t>
      </w:r>
      <w:r w:rsidRPr="00FC7BF8">
        <w:rPr>
          <w:rFonts w:ascii="Arial" w:hAnsi="Arial"/>
          <w:sz w:val="24"/>
          <w:szCs w:val="24"/>
        </w:rPr>
        <w:t>’s entry for Mo</w:t>
      </w:r>
      <w:r w:rsidR="003E3FC5">
        <w:rPr>
          <w:rFonts w:ascii="Arial" w:hAnsi="Arial"/>
          <w:sz w:val="24"/>
          <w:szCs w:val="24"/>
        </w:rPr>
        <w:t>diin</w:t>
      </w:r>
      <w:r w:rsidRPr="00FC7BF8">
        <w:rPr>
          <w:rFonts w:ascii="Arial" w:hAnsi="Arial"/>
          <w:sz w:val="24"/>
          <w:szCs w:val="24"/>
        </w:rPr>
        <w:t>, Eusebius writes: “Village near Diospolis. Home of the Maccabees where their tomb is pointed out even now”</w:t>
      </w:r>
      <w:r>
        <w:rPr>
          <w:rFonts w:ascii="Arial" w:hAnsi="Arial"/>
          <w:sz w:val="24"/>
          <w:szCs w:val="24"/>
        </w:rPr>
        <w:t xml:space="preserve"> (</w:t>
      </w:r>
      <w:r>
        <w:rPr>
          <w:rFonts w:ascii="Arial" w:hAnsi="Arial"/>
          <w:i/>
          <w:iCs/>
          <w:sz w:val="24"/>
          <w:szCs w:val="24"/>
        </w:rPr>
        <w:t>Onomasticon</w:t>
      </w:r>
      <w:r>
        <w:rPr>
          <w:rFonts w:ascii="Arial" w:hAnsi="Arial"/>
          <w:sz w:val="24"/>
          <w:szCs w:val="24"/>
        </w:rPr>
        <w:t xml:space="preserve"> 132:16-17).</w:t>
      </w:r>
      <w:r w:rsidRPr="00FC7BF8">
        <w:rPr>
          <w:rFonts w:ascii="Arial" w:hAnsi="Arial"/>
          <w:sz w:val="24"/>
          <w:szCs w:val="24"/>
        </w:rPr>
        <w:t xml:space="preserve"> We see from here that even centuries after the destruction of the </w:t>
      </w:r>
      <w:smartTag w:uri="urn:schemas-microsoft-com:office:smarttags" w:element="PersonName">
        <w:smartTagPr>
          <w:attr w:name="ProductID" w:val="Daniel Landman"/>
        </w:smartTagPr>
        <w:smartTag w:uri="urn:schemas-microsoft-com:office:smarttags" w:element="PersonName">
          <w:smartTagPr>
            <w:attr w:name="ProductID" w:val="Daniel Landman"/>
          </w:smartTagPr>
          <w:r w:rsidRPr="00FC7BF8">
            <w:rPr>
              <w:rFonts w:ascii="Arial" w:hAnsi="Arial"/>
              <w:sz w:val="24"/>
              <w:szCs w:val="24"/>
            </w:rPr>
            <w:t>Second</w:t>
          </w:r>
        </w:smartTag>
        <w:r w:rsidRPr="00FC7BF8">
          <w:rPr>
            <w:rFonts w:ascii="Arial" w:hAnsi="Arial"/>
            <w:sz w:val="24"/>
            <w:szCs w:val="24"/>
          </w:rPr>
          <w:t xml:space="preserve"> </w:t>
        </w:r>
        <w:smartTag w:uri="urn:schemas-microsoft-com:office:smarttags" w:element="PersonName">
          <w:smartTagPr>
            <w:attr w:name="ProductID" w:val="Daniel Landman"/>
          </w:smartTagPr>
          <w:r w:rsidRPr="00FC7BF8">
            <w:rPr>
              <w:rFonts w:ascii="Arial" w:hAnsi="Arial"/>
              <w:sz w:val="24"/>
              <w:szCs w:val="24"/>
            </w:rPr>
            <w:t>Temple</w:t>
          </w:r>
        </w:smartTag>
      </w:smartTag>
      <w:r w:rsidRPr="00FC7BF8">
        <w:rPr>
          <w:rFonts w:ascii="Arial" w:hAnsi="Arial"/>
          <w:sz w:val="24"/>
          <w:szCs w:val="24"/>
        </w:rPr>
        <w:t>, the tombs of the Maccabees were still plainly visible in a village near Lod.</w:t>
      </w:r>
    </w:p>
    <w:p w:rsidR="008C2418" w:rsidRPr="00FC7BF8" w:rsidRDefault="008C2418" w:rsidP="00906BAF">
      <w:pPr>
        <w:pStyle w:val="FootnoteText"/>
        <w:ind w:firstLine="720"/>
        <w:jc w:val="both"/>
        <w:rPr>
          <w:rFonts w:ascii="Arial" w:hAnsi="Arial"/>
          <w:sz w:val="24"/>
          <w:szCs w:val="24"/>
        </w:rPr>
      </w:pPr>
    </w:p>
    <w:p w:rsidR="008C2418" w:rsidRDefault="008C2418" w:rsidP="00906BAF">
      <w:pPr>
        <w:pStyle w:val="FootnoteText"/>
        <w:ind w:firstLine="720"/>
        <w:jc w:val="both"/>
        <w:rPr>
          <w:rFonts w:ascii="Arial" w:hAnsi="Arial"/>
          <w:sz w:val="24"/>
          <w:szCs w:val="24"/>
        </w:rPr>
      </w:pPr>
      <w:r w:rsidRPr="00FC7BF8">
        <w:rPr>
          <w:rFonts w:ascii="Arial" w:hAnsi="Arial"/>
          <w:sz w:val="24"/>
          <w:szCs w:val="24"/>
        </w:rPr>
        <w:t>The most important piece of information in support of this identification of Mo</w:t>
      </w:r>
      <w:r w:rsidR="003E3FC5">
        <w:rPr>
          <w:rFonts w:ascii="Arial" w:hAnsi="Arial"/>
          <w:sz w:val="24"/>
          <w:szCs w:val="24"/>
        </w:rPr>
        <w:t>diin</w:t>
      </w:r>
      <w:r w:rsidRPr="00FC7BF8">
        <w:rPr>
          <w:rFonts w:ascii="Arial" w:hAnsi="Arial"/>
          <w:sz w:val="24"/>
          <w:szCs w:val="24"/>
        </w:rPr>
        <w:t xml:space="preserve"> is the Madaba Map. In this ancient mosaic map, dated to the sixth or seventh century CE, the village of Mo</w:t>
      </w:r>
      <w:r w:rsidR="003E3FC5">
        <w:rPr>
          <w:rFonts w:ascii="Arial" w:hAnsi="Arial"/>
          <w:sz w:val="24"/>
          <w:szCs w:val="24"/>
        </w:rPr>
        <w:t>diin</w:t>
      </w:r>
      <w:r w:rsidRPr="00FC7BF8">
        <w:rPr>
          <w:rFonts w:ascii="Arial" w:hAnsi="Arial"/>
          <w:sz w:val="24"/>
          <w:szCs w:val="24"/>
        </w:rPr>
        <w:t xml:space="preserve"> is accompanied by the following label in Greek: “Mōdeeim which is now Mōditha,</w:t>
      </w:r>
      <w:r>
        <w:rPr>
          <w:rFonts w:ascii="Arial" w:hAnsi="Arial"/>
          <w:sz w:val="24"/>
          <w:szCs w:val="24"/>
        </w:rPr>
        <w:t xml:space="preserve"> whence were</w:t>
      </w:r>
      <w:r w:rsidRPr="00FC7BF8">
        <w:rPr>
          <w:rFonts w:ascii="Arial" w:hAnsi="Arial"/>
          <w:sz w:val="24"/>
          <w:szCs w:val="24"/>
        </w:rPr>
        <w:t xml:space="preserve"> the Maccabees.” West of the village lies the city of “Lōd”; to the east lies the village of “Bethōrōn”; to the south lies “Bētoannaba”; to the northeast lies “[Kaph]eruta”; and to the northwest lies “Aditha.” All of these locations are familiar to us. Lod and Bet</w:t>
      </w:r>
      <w:r>
        <w:rPr>
          <w:rFonts w:ascii="Arial" w:hAnsi="Arial"/>
          <w:sz w:val="24"/>
          <w:szCs w:val="24"/>
        </w:rPr>
        <w:t>h-h</w:t>
      </w:r>
      <w:r w:rsidRPr="00FC7BF8">
        <w:rPr>
          <w:rFonts w:ascii="Arial" w:hAnsi="Arial"/>
          <w:sz w:val="24"/>
          <w:szCs w:val="24"/>
        </w:rPr>
        <w:t>oron</w:t>
      </w:r>
      <w:r>
        <w:rPr>
          <w:rFonts w:ascii="Arial" w:hAnsi="Arial"/>
          <w:sz w:val="24"/>
          <w:szCs w:val="24"/>
        </w:rPr>
        <w:t xml:space="preserve"> (today B</w:t>
      </w:r>
      <w:r>
        <w:rPr>
          <w:rFonts w:ascii="Arial Unicode MS" w:eastAsia="Arial Unicode MS" w:hAnsi="Arial Unicode MS" w:cs="Arial Unicode MS"/>
          <w:sz w:val="24"/>
          <w:szCs w:val="24"/>
        </w:rPr>
        <w:t>ei</w:t>
      </w:r>
      <w:r>
        <w:rPr>
          <w:rFonts w:ascii="Arial" w:hAnsi="Arial"/>
          <w:sz w:val="24"/>
          <w:szCs w:val="24"/>
        </w:rPr>
        <w:t xml:space="preserve">t </w:t>
      </w:r>
      <w:r>
        <w:rPr>
          <w:rFonts w:ascii="Arial Unicode MS" w:eastAsia="Arial Unicode MS" w:hAnsi="Arial Unicode MS" w:cs="Arial Unicode MS"/>
          <w:sz w:val="24"/>
          <w:szCs w:val="24"/>
        </w:rPr>
        <w:t>Ur al-Tahta</w:t>
      </w:r>
      <w:r>
        <w:rPr>
          <w:rFonts w:ascii="Arial" w:hAnsi="Arial"/>
          <w:sz w:val="24"/>
          <w:szCs w:val="24"/>
        </w:rPr>
        <w:t>)</w:t>
      </w:r>
      <w:r w:rsidRPr="00FC7BF8">
        <w:rPr>
          <w:rFonts w:ascii="Arial" w:hAnsi="Arial"/>
          <w:sz w:val="24"/>
          <w:szCs w:val="24"/>
        </w:rPr>
        <w:t xml:space="preserve"> are well-known places. Bētoannaba refers to Inn</w:t>
      </w:r>
      <w:r>
        <w:rPr>
          <w:rFonts w:ascii="Arial Unicode MS" w:eastAsia="Arial Unicode MS" w:hAnsi="Arial Unicode MS" w:cs="Arial Unicode MS" w:hint="eastAsia"/>
          <w:sz w:val="24"/>
          <w:szCs w:val="24"/>
        </w:rPr>
        <w:t>ā</w:t>
      </w:r>
      <w:r w:rsidRPr="00FC7BF8">
        <w:rPr>
          <w:rFonts w:ascii="Arial" w:hAnsi="Arial"/>
          <w:sz w:val="24"/>
          <w:szCs w:val="24"/>
        </w:rPr>
        <w:t>b</w:t>
      </w:r>
      <w:r>
        <w:rPr>
          <w:rFonts w:ascii="Arial" w:hAnsi="Arial"/>
          <w:sz w:val="24"/>
          <w:szCs w:val="24"/>
        </w:rPr>
        <w:t>e</w:t>
      </w:r>
      <w:r w:rsidRPr="00FC7BF8">
        <w:rPr>
          <w:rFonts w:ascii="Arial" w:hAnsi="Arial"/>
          <w:sz w:val="24"/>
          <w:szCs w:val="24"/>
        </w:rPr>
        <w:t>, an Arab village that was destroyed in the War of Independence. Its name is preserved today in the form of Nachal Anava and the Anava Interchange. Kapheruta apparently refers to Khirbet Kafr Lut, located east of Kfar Ruth. Finally, Aditha refers to al-Haditha, an Arab village, now known as the archaeological site Tel Hadid, inhabited until 1948. All of this information essentially corroborates the notion that ancient Mo</w:t>
      </w:r>
      <w:r w:rsidR="003E3FC5">
        <w:rPr>
          <w:rFonts w:ascii="Arial" w:hAnsi="Arial"/>
          <w:sz w:val="24"/>
          <w:szCs w:val="24"/>
        </w:rPr>
        <w:t>diin</w:t>
      </w:r>
      <w:r w:rsidRPr="00FC7BF8">
        <w:rPr>
          <w:rFonts w:ascii="Arial" w:hAnsi="Arial"/>
          <w:sz w:val="24"/>
          <w:szCs w:val="24"/>
        </w:rPr>
        <w:t xml:space="preserve"> and modern Mo</w:t>
      </w:r>
      <w:r w:rsidR="003E3FC5">
        <w:rPr>
          <w:rFonts w:ascii="Arial" w:hAnsi="Arial"/>
          <w:sz w:val="24"/>
          <w:szCs w:val="24"/>
        </w:rPr>
        <w:t>diin</w:t>
      </w:r>
      <w:r w:rsidRPr="00FC7BF8">
        <w:rPr>
          <w:rFonts w:ascii="Arial" w:hAnsi="Arial"/>
          <w:sz w:val="24"/>
          <w:szCs w:val="24"/>
        </w:rPr>
        <w:t xml:space="preserve"> are located in the same region.</w:t>
      </w:r>
    </w:p>
    <w:p w:rsidR="008C2418" w:rsidRDefault="008C2418" w:rsidP="00906BAF">
      <w:pPr>
        <w:pStyle w:val="FootnoteText"/>
        <w:jc w:val="both"/>
        <w:rPr>
          <w:rFonts w:ascii="Arial" w:hAnsi="Arial"/>
          <w:sz w:val="24"/>
          <w:szCs w:val="24"/>
        </w:rPr>
      </w:pPr>
    </w:p>
    <w:p w:rsidR="008C2418" w:rsidRDefault="008C2418" w:rsidP="00906BAF">
      <w:pPr>
        <w:pStyle w:val="FootnoteText"/>
        <w:jc w:val="both"/>
        <w:rPr>
          <w:rFonts w:ascii="Arial" w:hAnsi="Arial"/>
          <w:sz w:val="24"/>
          <w:szCs w:val="24"/>
        </w:rPr>
      </w:pPr>
    </w:p>
    <w:p w:rsidR="008C2418" w:rsidRDefault="0077683B" w:rsidP="00906BAF">
      <w:pPr>
        <w:pStyle w:val="FootnoteText"/>
        <w:keepNext/>
        <w:jc w:val="center"/>
      </w:pPr>
      <w:r>
        <w:rPr>
          <w:noProof/>
        </w:rPr>
        <w:drawing>
          <wp:inline distT="0" distB="0" distL="0" distR="0">
            <wp:extent cx="1993900" cy="2641600"/>
            <wp:effectExtent l="0" t="0" r="6350" b="63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0" cy="2641600"/>
                    </a:xfrm>
                    <a:prstGeom prst="rect">
                      <a:avLst/>
                    </a:prstGeom>
                    <a:noFill/>
                    <a:ln>
                      <a:noFill/>
                    </a:ln>
                  </pic:spPr>
                </pic:pic>
              </a:graphicData>
            </a:graphic>
          </wp:inline>
        </w:drawing>
      </w:r>
    </w:p>
    <w:p w:rsidR="008C2418" w:rsidRPr="00E95CD7" w:rsidRDefault="008C2418" w:rsidP="00906BAF">
      <w:pPr>
        <w:shd w:val="clear" w:color="auto" w:fill="FFFFFF"/>
        <w:spacing w:after="0" w:line="240" w:lineRule="auto"/>
        <w:jc w:val="both"/>
        <w:rPr>
          <w:rFonts w:ascii="Arial" w:hAnsi="Arial"/>
          <w:color w:val="222222"/>
          <w:sz w:val="20"/>
          <w:szCs w:val="20"/>
        </w:rPr>
      </w:pPr>
      <w:r w:rsidRPr="00E95CD7">
        <w:rPr>
          <w:rFonts w:ascii="Arial" w:hAnsi="Arial"/>
          <w:sz w:val="20"/>
          <w:szCs w:val="20"/>
        </w:rPr>
        <w:t xml:space="preserve">A portion of the Madaba Map. The map faces east. In the upper part of the image, the walled city of Jerusalem is visible. </w:t>
      </w:r>
      <w:r w:rsidRPr="00E95CD7">
        <w:rPr>
          <w:rFonts w:ascii="Arial" w:hAnsi="Arial"/>
          <w:color w:val="222222"/>
          <w:sz w:val="20"/>
          <w:szCs w:val="20"/>
        </w:rPr>
        <w:t>Below Jerusalem –</w:t>
      </w:r>
      <w:r>
        <w:rPr>
          <w:rFonts w:ascii="Arial" w:hAnsi="Arial"/>
          <w:color w:val="222222"/>
          <w:sz w:val="20"/>
          <w:szCs w:val="20"/>
        </w:rPr>
        <w:t xml:space="preserve"> </w:t>
      </w:r>
      <w:r w:rsidRPr="00E95CD7">
        <w:rPr>
          <w:rFonts w:ascii="Arial" w:hAnsi="Arial"/>
          <w:color w:val="222222"/>
          <w:sz w:val="20"/>
          <w:szCs w:val="20"/>
        </w:rPr>
        <w:t xml:space="preserve">the village </w:t>
      </w:r>
      <w:r>
        <w:rPr>
          <w:rFonts w:ascii="Arial" w:hAnsi="Arial"/>
          <w:color w:val="222222"/>
          <w:sz w:val="20"/>
          <w:szCs w:val="20"/>
        </w:rPr>
        <w:t xml:space="preserve">of </w:t>
      </w:r>
      <w:r w:rsidRPr="00E95CD7">
        <w:rPr>
          <w:rFonts w:ascii="Arial" w:hAnsi="Arial"/>
          <w:color w:val="222222"/>
          <w:sz w:val="20"/>
          <w:szCs w:val="20"/>
        </w:rPr>
        <w:t xml:space="preserve">BEΘWPWN </w:t>
      </w:r>
      <w:r>
        <w:rPr>
          <w:rFonts w:ascii="Arial" w:hAnsi="Arial"/>
          <w:color w:val="222222"/>
          <w:sz w:val="20"/>
          <w:szCs w:val="20"/>
        </w:rPr>
        <w:t>(</w:t>
      </w:r>
      <w:r w:rsidRPr="00E95CD7">
        <w:rPr>
          <w:rFonts w:ascii="Arial" w:hAnsi="Arial"/>
          <w:color w:val="222222"/>
          <w:sz w:val="20"/>
          <w:szCs w:val="20"/>
        </w:rPr>
        <w:t>Beth-horon</w:t>
      </w:r>
      <w:r>
        <w:rPr>
          <w:rFonts w:ascii="Arial" w:hAnsi="Arial"/>
          <w:color w:val="222222"/>
          <w:sz w:val="20"/>
          <w:szCs w:val="20"/>
        </w:rPr>
        <w:t>)</w:t>
      </w:r>
      <w:r w:rsidRPr="00E95CD7">
        <w:rPr>
          <w:rFonts w:ascii="Arial" w:hAnsi="Arial"/>
          <w:color w:val="222222"/>
          <w:sz w:val="20"/>
          <w:szCs w:val="20"/>
        </w:rPr>
        <w:t>.</w:t>
      </w:r>
      <w:r>
        <w:rPr>
          <w:rFonts w:ascii="Arial" w:hAnsi="Arial"/>
          <w:color w:val="222222"/>
          <w:sz w:val="20"/>
          <w:szCs w:val="20"/>
        </w:rPr>
        <w:t xml:space="preserve"> </w:t>
      </w:r>
      <w:r w:rsidRPr="00E95CD7">
        <w:rPr>
          <w:rFonts w:ascii="Arial" w:hAnsi="Arial"/>
          <w:color w:val="222222"/>
          <w:sz w:val="20"/>
          <w:szCs w:val="20"/>
        </w:rPr>
        <w:t>Below it</w:t>
      </w:r>
      <w:r>
        <w:rPr>
          <w:rFonts w:ascii="Arial" w:hAnsi="Arial"/>
          <w:color w:val="222222"/>
          <w:sz w:val="20"/>
          <w:szCs w:val="20"/>
        </w:rPr>
        <w:t xml:space="preserve"> </w:t>
      </w:r>
      <w:r w:rsidRPr="00E95CD7">
        <w:rPr>
          <w:rFonts w:ascii="Arial" w:hAnsi="Arial"/>
          <w:color w:val="222222"/>
          <w:sz w:val="20"/>
          <w:szCs w:val="20"/>
        </w:rPr>
        <w:t xml:space="preserve">– the village </w:t>
      </w:r>
      <w:r>
        <w:rPr>
          <w:rFonts w:ascii="Arial" w:hAnsi="Arial"/>
          <w:color w:val="222222"/>
          <w:sz w:val="20"/>
          <w:szCs w:val="20"/>
        </w:rPr>
        <w:t xml:space="preserve">of </w:t>
      </w:r>
      <w:r w:rsidRPr="00E95CD7">
        <w:rPr>
          <w:rFonts w:ascii="Arial" w:hAnsi="Arial"/>
          <w:color w:val="222222"/>
          <w:sz w:val="20"/>
          <w:szCs w:val="20"/>
        </w:rPr>
        <w:t>K[  ]ER</w:t>
      </w:r>
      <w:r w:rsidRPr="00E95CD7">
        <w:rPr>
          <w:rFonts w:cs="Guttman Yad-Brush" w:hint="cs"/>
          <w:color w:val="222222"/>
          <w:sz w:val="20"/>
          <w:szCs w:val="20"/>
          <w:rtl/>
        </w:rPr>
        <w:t>ע</w:t>
      </w:r>
      <w:r w:rsidRPr="00E95CD7">
        <w:rPr>
          <w:rFonts w:ascii="Arial" w:hAnsi="Arial"/>
          <w:color w:val="222222"/>
          <w:sz w:val="20"/>
          <w:szCs w:val="20"/>
        </w:rPr>
        <w:t xml:space="preserve">TA </w:t>
      </w:r>
      <w:r>
        <w:rPr>
          <w:rFonts w:ascii="Arial" w:hAnsi="Arial"/>
          <w:color w:val="222222"/>
          <w:sz w:val="20"/>
          <w:szCs w:val="20"/>
        </w:rPr>
        <w:t>(</w:t>
      </w:r>
      <w:r w:rsidRPr="002D4508">
        <w:rPr>
          <w:rFonts w:ascii="Arial" w:hAnsi="Arial"/>
          <w:color w:val="222222"/>
          <w:sz w:val="20"/>
          <w:szCs w:val="20"/>
        </w:rPr>
        <w:t>K[ap]eruta</w:t>
      </w:r>
      <w:r>
        <w:rPr>
          <w:rFonts w:ascii="Arial" w:hAnsi="Arial"/>
          <w:color w:val="222222"/>
          <w:sz w:val="20"/>
          <w:szCs w:val="20"/>
        </w:rPr>
        <w:t>/</w:t>
      </w:r>
      <w:r w:rsidRPr="00E95CD7">
        <w:rPr>
          <w:rFonts w:ascii="Arial" w:hAnsi="Arial"/>
          <w:color w:val="222222"/>
          <w:sz w:val="20"/>
          <w:szCs w:val="20"/>
        </w:rPr>
        <w:t>Kfar Rut</w:t>
      </w:r>
      <w:r>
        <w:rPr>
          <w:rFonts w:ascii="Arial" w:hAnsi="Arial"/>
          <w:color w:val="222222"/>
          <w:sz w:val="20"/>
          <w:szCs w:val="20"/>
        </w:rPr>
        <w:t>h</w:t>
      </w:r>
      <w:r w:rsidRPr="00E95CD7">
        <w:rPr>
          <w:rFonts w:ascii="Arial" w:hAnsi="Arial"/>
          <w:color w:val="222222"/>
          <w:sz w:val="20"/>
          <w:szCs w:val="20"/>
        </w:rPr>
        <w:t>).</w:t>
      </w:r>
      <w:r>
        <w:rPr>
          <w:rFonts w:ascii="Arial" w:hAnsi="Arial"/>
          <w:color w:val="222222"/>
          <w:sz w:val="20"/>
          <w:szCs w:val="20"/>
        </w:rPr>
        <w:t xml:space="preserve"> </w:t>
      </w:r>
      <w:r w:rsidRPr="00E95CD7">
        <w:rPr>
          <w:rFonts w:ascii="Arial" w:hAnsi="Arial"/>
          <w:color w:val="222222"/>
          <w:sz w:val="20"/>
          <w:szCs w:val="20"/>
        </w:rPr>
        <w:t>Below it – the village</w:t>
      </w:r>
      <w:r>
        <w:rPr>
          <w:rFonts w:ascii="Arial" w:hAnsi="Arial"/>
          <w:color w:val="222222"/>
          <w:sz w:val="20"/>
          <w:szCs w:val="20"/>
        </w:rPr>
        <w:t xml:space="preserve"> of </w:t>
      </w:r>
      <w:r w:rsidRPr="00E95CD7">
        <w:rPr>
          <w:rFonts w:ascii="Arial" w:hAnsi="Arial"/>
          <w:color w:val="222222"/>
          <w:sz w:val="20"/>
          <w:szCs w:val="20"/>
        </w:rPr>
        <w:t>MO</w:t>
      </w:r>
      <w:r w:rsidRPr="00E95CD7">
        <w:rPr>
          <w:rFonts w:ascii="Arial" w:hAnsi="Arial"/>
          <w:color w:val="222222"/>
          <w:sz w:val="20"/>
          <w:szCs w:val="20"/>
          <w:lang w:val="el-GR"/>
        </w:rPr>
        <w:t>ΔΕΕΙΜ </w:t>
      </w:r>
      <w:r w:rsidRPr="00E95CD7">
        <w:rPr>
          <w:rFonts w:ascii="Arial" w:eastAsia="Arial Unicode MS" w:hAnsi="Arial"/>
          <w:color w:val="222222"/>
          <w:sz w:val="20"/>
          <w:szCs w:val="20"/>
        </w:rPr>
        <w:t>·</w:t>
      </w:r>
      <w:r w:rsidRPr="00E95CD7">
        <w:rPr>
          <w:rFonts w:ascii="Arial" w:hAnsi="Arial"/>
          <w:color w:val="222222"/>
          <w:sz w:val="20"/>
          <w:szCs w:val="20"/>
        </w:rPr>
        <w:t> </w:t>
      </w:r>
      <w:r w:rsidRPr="00E95CD7">
        <w:rPr>
          <w:rFonts w:ascii="Arial" w:hAnsi="Arial"/>
          <w:color w:val="222222"/>
          <w:sz w:val="20"/>
          <w:szCs w:val="20"/>
          <w:lang w:val="el-GR"/>
        </w:rPr>
        <w:t>Η ΝΥΝ Μ</w:t>
      </w:r>
      <w:r w:rsidRPr="00E95CD7">
        <w:rPr>
          <w:rFonts w:ascii="Arial" w:hAnsi="Arial"/>
          <w:color w:val="222222"/>
          <w:sz w:val="20"/>
          <w:szCs w:val="20"/>
        </w:rPr>
        <w:t>WΔΙ</w:t>
      </w:r>
      <w:r w:rsidRPr="00E95CD7">
        <w:rPr>
          <w:rFonts w:ascii="Arial" w:hAnsi="Arial"/>
          <w:color w:val="222222"/>
          <w:sz w:val="20"/>
          <w:szCs w:val="20"/>
          <w:lang w:val="el-GR"/>
        </w:rPr>
        <w:t>ΘΑ </w:t>
      </w:r>
      <w:r w:rsidRPr="00E95CD7">
        <w:rPr>
          <w:rFonts w:ascii="Arial" w:hAnsi="Arial"/>
          <w:color w:val="222222"/>
          <w:sz w:val="20"/>
          <w:szCs w:val="20"/>
        </w:rPr>
        <w:t>˙ </w:t>
      </w:r>
      <w:r w:rsidRPr="00E95CD7">
        <w:rPr>
          <w:rFonts w:ascii="Arial" w:hAnsi="Arial"/>
          <w:color w:val="222222"/>
          <w:sz w:val="20"/>
          <w:szCs w:val="20"/>
          <w:lang w:val="el-GR"/>
        </w:rPr>
        <w:t>ΕΚ ΤΑΥΤΗ</w:t>
      </w:r>
      <w:r w:rsidRPr="002D4508">
        <w:rPr>
          <w:rFonts w:ascii="Arial" w:hAnsi="Arial"/>
          <w:color w:val="222222"/>
          <w:sz w:val="20"/>
          <w:szCs w:val="20"/>
        </w:rPr>
        <w:t xml:space="preserve">C HCAN OI MAKKABAAIOI </w:t>
      </w:r>
      <w:r>
        <w:rPr>
          <w:rFonts w:ascii="Arial" w:hAnsi="Arial"/>
          <w:color w:val="222222"/>
          <w:sz w:val="20"/>
          <w:szCs w:val="20"/>
        </w:rPr>
        <w:t>(</w:t>
      </w:r>
      <w:r w:rsidRPr="00E95CD7">
        <w:rPr>
          <w:rFonts w:ascii="Arial" w:hAnsi="Arial"/>
          <w:color w:val="222222"/>
          <w:sz w:val="20"/>
          <w:szCs w:val="20"/>
          <w:lang w:val="el-GR"/>
        </w:rPr>
        <w:t>Μο</w:t>
      </w:r>
      <w:r w:rsidRPr="00E95CD7">
        <w:rPr>
          <w:rFonts w:ascii="Arial" w:hAnsi="Arial"/>
          <w:color w:val="222222"/>
          <w:sz w:val="20"/>
          <w:szCs w:val="20"/>
        </w:rPr>
        <w:t xml:space="preserve">di'im, </w:t>
      </w:r>
      <w:r>
        <w:rPr>
          <w:rFonts w:ascii="Arial" w:hAnsi="Arial"/>
          <w:color w:val="222222"/>
          <w:sz w:val="20"/>
          <w:szCs w:val="20"/>
        </w:rPr>
        <w:t xml:space="preserve">which is </w:t>
      </w:r>
      <w:r w:rsidRPr="00E95CD7">
        <w:rPr>
          <w:rFonts w:ascii="Arial" w:hAnsi="Arial"/>
          <w:color w:val="222222"/>
          <w:sz w:val="20"/>
          <w:szCs w:val="20"/>
        </w:rPr>
        <w:t xml:space="preserve">today Moditha; </w:t>
      </w:r>
      <w:r>
        <w:rPr>
          <w:rFonts w:ascii="Arial" w:hAnsi="Arial"/>
          <w:color w:val="222222"/>
          <w:sz w:val="20"/>
          <w:szCs w:val="20"/>
        </w:rPr>
        <w:t xml:space="preserve">home of </w:t>
      </w:r>
      <w:r w:rsidRPr="00E95CD7">
        <w:rPr>
          <w:rFonts w:ascii="Arial" w:hAnsi="Arial"/>
          <w:color w:val="222222"/>
          <w:sz w:val="20"/>
          <w:szCs w:val="20"/>
        </w:rPr>
        <w:t>the Maccabees</w:t>
      </w:r>
      <w:r>
        <w:rPr>
          <w:rFonts w:ascii="Arial" w:hAnsi="Arial"/>
          <w:color w:val="222222"/>
          <w:sz w:val="20"/>
          <w:szCs w:val="20"/>
        </w:rPr>
        <w:t>)</w:t>
      </w:r>
      <w:r w:rsidRPr="00E95CD7">
        <w:rPr>
          <w:rFonts w:ascii="Arial" w:hAnsi="Arial"/>
          <w:color w:val="222222"/>
          <w:sz w:val="20"/>
          <w:szCs w:val="20"/>
        </w:rPr>
        <w:t>.</w:t>
      </w:r>
      <w:r>
        <w:rPr>
          <w:rFonts w:ascii="Arial" w:hAnsi="Arial"/>
          <w:color w:val="222222"/>
          <w:sz w:val="20"/>
          <w:szCs w:val="20"/>
        </w:rPr>
        <w:t xml:space="preserve"> </w:t>
      </w:r>
      <w:r w:rsidRPr="00E95CD7">
        <w:rPr>
          <w:rFonts w:ascii="Arial" w:hAnsi="Arial"/>
          <w:color w:val="222222"/>
          <w:sz w:val="20"/>
          <w:szCs w:val="20"/>
        </w:rPr>
        <w:t>Below it – A large unwalled city with the label</w:t>
      </w:r>
      <w:r>
        <w:rPr>
          <w:rFonts w:ascii="Arial" w:hAnsi="Arial"/>
          <w:color w:val="222222"/>
          <w:sz w:val="20"/>
          <w:szCs w:val="20"/>
        </w:rPr>
        <w:t xml:space="preserve"> </w:t>
      </w:r>
      <w:r w:rsidRPr="00E95CD7">
        <w:rPr>
          <w:rFonts w:ascii="Arial" w:hAnsi="Arial"/>
          <w:color w:val="222222"/>
          <w:sz w:val="20"/>
          <w:szCs w:val="20"/>
          <w:lang w:val="el-GR"/>
        </w:rPr>
        <w:t>Λ</w:t>
      </w:r>
      <w:r w:rsidRPr="00E95CD7">
        <w:rPr>
          <w:rFonts w:ascii="Arial" w:hAnsi="Arial"/>
          <w:color w:val="222222"/>
          <w:sz w:val="20"/>
          <w:szCs w:val="20"/>
        </w:rPr>
        <w:t>W</w:t>
      </w:r>
      <w:r w:rsidRPr="00E95CD7">
        <w:rPr>
          <w:rFonts w:ascii="Arial" w:hAnsi="Arial"/>
          <w:color w:val="222222"/>
          <w:sz w:val="20"/>
          <w:szCs w:val="20"/>
          <w:lang w:val="el-GR"/>
        </w:rPr>
        <w:t>Δ Η ΤΟΙ ΛΥΔΕΑ Η Κ ΔΙΟ</w:t>
      </w:r>
      <w:r w:rsidRPr="00E95CD7">
        <w:rPr>
          <w:rFonts w:ascii="Arial" w:hAnsi="Arial"/>
          <w:color w:val="222222"/>
          <w:sz w:val="20"/>
          <w:szCs w:val="20"/>
        </w:rPr>
        <w:t>C</w:t>
      </w:r>
      <w:r w:rsidRPr="00E95CD7">
        <w:rPr>
          <w:rFonts w:ascii="Arial" w:hAnsi="Arial"/>
          <w:color w:val="222222"/>
          <w:sz w:val="20"/>
          <w:szCs w:val="20"/>
          <w:lang w:val="el-GR"/>
        </w:rPr>
        <w:t>ΠΟΛΙ</w:t>
      </w:r>
      <w:r w:rsidRPr="002D4508">
        <w:rPr>
          <w:rFonts w:ascii="Arial" w:hAnsi="Arial"/>
          <w:color w:val="222222"/>
          <w:sz w:val="20"/>
          <w:szCs w:val="20"/>
        </w:rPr>
        <w:t xml:space="preserve">C </w:t>
      </w:r>
      <w:r>
        <w:rPr>
          <w:rFonts w:ascii="Arial" w:hAnsi="Arial"/>
          <w:color w:val="222222"/>
          <w:sz w:val="20"/>
          <w:szCs w:val="20"/>
        </w:rPr>
        <w:t>(</w:t>
      </w:r>
      <w:r w:rsidRPr="00E95CD7">
        <w:rPr>
          <w:rFonts w:ascii="Arial" w:hAnsi="Arial"/>
          <w:color w:val="222222"/>
          <w:sz w:val="20"/>
          <w:szCs w:val="20"/>
        </w:rPr>
        <w:t xml:space="preserve">Lod, which is Lydea, also </w:t>
      </w:r>
      <w:r>
        <w:rPr>
          <w:rFonts w:ascii="Arial" w:hAnsi="Arial"/>
          <w:color w:val="222222"/>
          <w:sz w:val="20"/>
          <w:szCs w:val="20"/>
        </w:rPr>
        <w:t xml:space="preserve">known as </w:t>
      </w:r>
      <w:r w:rsidRPr="00E95CD7">
        <w:rPr>
          <w:rFonts w:ascii="Arial" w:hAnsi="Arial"/>
          <w:color w:val="222222"/>
          <w:sz w:val="20"/>
          <w:szCs w:val="20"/>
        </w:rPr>
        <w:t>Diospolis</w:t>
      </w:r>
      <w:r>
        <w:rPr>
          <w:rFonts w:ascii="Arial" w:hAnsi="Arial"/>
          <w:color w:val="222222"/>
          <w:sz w:val="20"/>
          <w:szCs w:val="20"/>
        </w:rPr>
        <w:t>)</w:t>
      </w:r>
      <w:r w:rsidRPr="00E95CD7">
        <w:rPr>
          <w:rFonts w:ascii="Arial" w:hAnsi="Arial"/>
          <w:color w:val="222222"/>
          <w:sz w:val="20"/>
          <w:szCs w:val="20"/>
        </w:rPr>
        <w:t>.</w:t>
      </w:r>
      <w:r>
        <w:rPr>
          <w:rFonts w:ascii="Arial" w:hAnsi="Arial"/>
          <w:color w:val="222222"/>
          <w:sz w:val="20"/>
          <w:szCs w:val="20"/>
        </w:rPr>
        <w:t xml:space="preserve"> </w:t>
      </w:r>
      <w:r w:rsidRPr="00E95CD7">
        <w:rPr>
          <w:rFonts w:ascii="Arial" w:hAnsi="Arial"/>
          <w:color w:val="222222"/>
          <w:sz w:val="20"/>
          <w:szCs w:val="20"/>
        </w:rPr>
        <w:t xml:space="preserve">Left (north) of Modi'im </w:t>
      </w:r>
      <w:r>
        <w:rPr>
          <w:rFonts w:ascii="Arial" w:hAnsi="Arial"/>
          <w:color w:val="222222"/>
          <w:sz w:val="20"/>
          <w:szCs w:val="20"/>
        </w:rPr>
        <w:t>–</w:t>
      </w:r>
      <w:r w:rsidRPr="00E95CD7">
        <w:rPr>
          <w:rFonts w:ascii="Arial" w:hAnsi="Arial"/>
          <w:color w:val="222222"/>
          <w:sz w:val="20"/>
          <w:szCs w:val="20"/>
        </w:rPr>
        <w:t xml:space="preserve"> the village</w:t>
      </w:r>
      <w:r>
        <w:rPr>
          <w:rFonts w:ascii="Arial" w:hAnsi="Arial"/>
          <w:color w:val="222222"/>
          <w:sz w:val="20"/>
          <w:szCs w:val="20"/>
        </w:rPr>
        <w:t xml:space="preserve"> of </w:t>
      </w:r>
      <w:r w:rsidRPr="002D4508">
        <w:rPr>
          <w:rFonts w:ascii="Arial" w:hAnsi="Arial"/>
          <w:color w:val="222222"/>
          <w:sz w:val="20"/>
          <w:szCs w:val="20"/>
        </w:rPr>
        <w:t xml:space="preserve">AΔΙΑΘΙΜ Η ΝΥΝ ΑΔΙΘΑ </w:t>
      </w:r>
      <w:r>
        <w:rPr>
          <w:rFonts w:ascii="Arial" w:hAnsi="Arial"/>
          <w:color w:val="222222"/>
          <w:sz w:val="20"/>
          <w:szCs w:val="20"/>
        </w:rPr>
        <w:t>(</w:t>
      </w:r>
      <w:r w:rsidRPr="00E95CD7">
        <w:rPr>
          <w:rFonts w:ascii="Arial" w:hAnsi="Arial"/>
          <w:color w:val="222222"/>
          <w:sz w:val="20"/>
          <w:szCs w:val="20"/>
        </w:rPr>
        <w:t>Adiathim</w:t>
      </w:r>
      <w:r>
        <w:rPr>
          <w:rFonts w:ascii="Arial" w:hAnsi="Arial"/>
          <w:color w:val="222222"/>
          <w:sz w:val="20"/>
          <w:szCs w:val="20"/>
        </w:rPr>
        <w:t>,</w:t>
      </w:r>
      <w:r w:rsidRPr="00E95CD7">
        <w:rPr>
          <w:rFonts w:ascii="Arial" w:hAnsi="Arial"/>
          <w:color w:val="222222"/>
          <w:sz w:val="20"/>
          <w:szCs w:val="20"/>
        </w:rPr>
        <w:t xml:space="preserve"> </w:t>
      </w:r>
      <w:r>
        <w:rPr>
          <w:rFonts w:ascii="Arial" w:hAnsi="Arial"/>
          <w:color w:val="222222"/>
          <w:sz w:val="20"/>
          <w:szCs w:val="20"/>
        </w:rPr>
        <w:t xml:space="preserve">which is </w:t>
      </w:r>
      <w:r w:rsidRPr="00E95CD7">
        <w:rPr>
          <w:rFonts w:ascii="Arial" w:hAnsi="Arial"/>
          <w:color w:val="222222"/>
          <w:sz w:val="20"/>
          <w:szCs w:val="20"/>
        </w:rPr>
        <w:t>today Aditha</w:t>
      </w:r>
      <w:r>
        <w:rPr>
          <w:rFonts w:ascii="Arial" w:hAnsi="Arial"/>
          <w:color w:val="222222"/>
          <w:sz w:val="20"/>
          <w:szCs w:val="20"/>
        </w:rPr>
        <w:t>)</w:t>
      </w:r>
      <w:r w:rsidRPr="00E95CD7">
        <w:rPr>
          <w:rFonts w:ascii="Arial" w:hAnsi="Arial"/>
          <w:color w:val="222222"/>
          <w:sz w:val="20"/>
          <w:szCs w:val="20"/>
        </w:rPr>
        <w:t>.</w:t>
      </w:r>
      <w:r>
        <w:rPr>
          <w:rFonts w:ascii="Arial" w:hAnsi="Arial"/>
          <w:color w:val="222222"/>
          <w:sz w:val="20"/>
          <w:szCs w:val="20"/>
        </w:rPr>
        <w:t xml:space="preserve"> </w:t>
      </w:r>
      <w:r w:rsidRPr="00E95CD7">
        <w:rPr>
          <w:rFonts w:ascii="Arial" w:hAnsi="Arial"/>
          <w:color w:val="222222"/>
          <w:sz w:val="20"/>
          <w:szCs w:val="20"/>
        </w:rPr>
        <w:t>Right (south) of Modi'im – th</w:t>
      </w:r>
      <w:r>
        <w:rPr>
          <w:rFonts w:ascii="Arial" w:hAnsi="Arial"/>
          <w:color w:val="222222"/>
          <w:sz w:val="20"/>
          <w:szCs w:val="20"/>
        </w:rPr>
        <w:t xml:space="preserve">e </w:t>
      </w:r>
      <w:r w:rsidRPr="00E95CD7">
        <w:rPr>
          <w:rFonts w:ascii="Arial" w:hAnsi="Arial"/>
          <w:color w:val="222222"/>
          <w:sz w:val="20"/>
          <w:szCs w:val="20"/>
        </w:rPr>
        <w:t>village</w:t>
      </w:r>
      <w:r>
        <w:rPr>
          <w:rFonts w:ascii="Arial" w:hAnsi="Arial"/>
          <w:color w:val="222222"/>
          <w:sz w:val="20"/>
          <w:szCs w:val="20"/>
        </w:rPr>
        <w:t xml:space="preserve"> of </w:t>
      </w:r>
      <w:r w:rsidRPr="00E95CD7">
        <w:rPr>
          <w:rFonts w:ascii="Arial" w:hAnsi="Arial"/>
          <w:color w:val="222222"/>
          <w:sz w:val="20"/>
          <w:szCs w:val="20"/>
        </w:rPr>
        <w:t xml:space="preserve">ANWB H NYN BETOANNABA = </w:t>
      </w:r>
      <w:r>
        <w:rPr>
          <w:rFonts w:ascii="Arial" w:hAnsi="Arial"/>
          <w:color w:val="222222"/>
          <w:sz w:val="20"/>
          <w:szCs w:val="20"/>
        </w:rPr>
        <w:t>(</w:t>
      </w:r>
      <w:r w:rsidRPr="00E95CD7">
        <w:rPr>
          <w:rFonts w:ascii="Arial" w:hAnsi="Arial"/>
          <w:color w:val="222222"/>
          <w:sz w:val="20"/>
          <w:szCs w:val="20"/>
        </w:rPr>
        <w:t xml:space="preserve">Anob, </w:t>
      </w:r>
      <w:r>
        <w:rPr>
          <w:rFonts w:ascii="Arial" w:hAnsi="Arial"/>
          <w:color w:val="222222"/>
          <w:sz w:val="20"/>
          <w:szCs w:val="20"/>
        </w:rPr>
        <w:t xml:space="preserve">which is </w:t>
      </w:r>
      <w:r w:rsidRPr="00E95CD7">
        <w:rPr>
          <w:rFonts w:ascii="Arial" w:hAnsi="Arial"/>
          <w:color w:val="222222"/>
          <w:sz w:val="20"/>
          <w:szCs w:val="20"/>
        </w:rPr>
        <w:t>today Betoannaba</w:t>
      </w:r>
      <w:r>
        <w:rPr>
          <w:rFonts w:ascii="Arial" w:hAnsi="Arial"/>
          <w:color w:val="222222"/>
          <w:sz w:val="20"/>
          <w:szCs w:val="20"/>
        </w:rPr>
        <w:t>)</w:t>
      </w:r>
      <w:r w:rsidRPr="00E95CD7">
        <w:rPr>
          <w:rFonts w:ascii="Arial" w:hAnsi="Arial"/>
          <w:color w:val="222222"/>
          <w:sz w:val="20"/>
          <w:szCs w:val="20"/>
        </w:rPr>
        <w:t>.</w:t>
      </w:r>
    </w:p>
    <w:p w:rsidR="008C2418" w:rsidRPr="00E95CD7" w:rsidRDefault="008C2418" w:rsidP="00906BAF">
      <w:pPr>
        <w:pStyle w:val="Caption"/>
        <w:spacing w:after="0"/>
        <w:jc w:val="center"/>
        <w:rPr>
          <w:rFonts w:ascii="Arial" w:hAnsi="Arial"/>
          <w:sz w:val="20"/>
          <w:szCs w:val="20"/>
        </w:rPr>
      </w:pPr>
    </w:p>
    <w:p w:rsidR="008C2418" w:rsidRPr="00FC7BF8" w:rsidRDefault="008C2418" w:rsidP="00906BAF">
      <w:pPr>
        <w:pStyle w:val="FootnoteText"/>
        <w:ind w:firstLine="720"/>
        <w:jc w:val="both"/>
        <w:rPr>
          <w:rFonts w:ascii="Arial" w:hAnsi="Arial"/>
          <w:sz w:val="24"/>
          <w:szCs w:val="24"/>
        </w:rPr>
      </w:pPr>
      <w:r w:rsidRPr="00FC7BF8">
        <w:rPr>
          <w:rFonts w:ascii="Arial" w:hAnsi="Arial"/>
          <w:sz w:val="24"/>
          <w:szCs w:val="24"/>
        </w:rPr>
        <w:lastRenderedPageBreak/>
        <w:t>Thirteenth-century theologian</w:t>
      </w:r>
      <w:r>
        <w:rPr>
          <w:rFonts w:ascii="Arial" w:hAnsi="Arial"/>
          <w:sz w:val="24"/>
          <w:szCs w:val="24"/>
        </w:rPr>
        <w:t xml:space="preserve"> and bishop</w:t>
      </w:r>
      <w:r w:rsidRPr="00FC7BF8">
        <w:rPr>
          <w:rFonts w:ascii="Arial" w:hAnsi="Arial"/>
          <w:sz w:val="24"/>
          <w:szCs w:val="24"/>
        </w:rPr>
        <w:t xml:space="preserve"> Jacques de Vitry and fifteenth-century pilgrim Bernhard von Breidenbach both identified Mo</w:t>
      </w:r>
      <w:r w:rsidR="003E3FC5">
        <w:rPr>
          <w:rFonts w:ascii="Arial" w:hAnsi="Arial"/>
          <w:sz w:val="24"/>
          <w:szCs w:val="24"/>
        </w:rPr>
        <w:t>diin</w:t>
      </w:r>
      <w:r w:rsidRPr="00FC7BF8">
        <w:rPr>
          <w:rFonts w:ascii="Arial" w:hAnsi="Arial"/>
          <w:sz w:val="24"/>
          <w:szCs w:val="24"/>
        </w:rPr>
        <w:t xml:space="preserve"> with Latrun. Edward Robinson wrote in 1841 that this was a reasonable identification. Despite this, it is difficult to accept such a theory, as Latrun is neither “east of Lod” nor in the vicinity of either Hadid or Kfar Ruth. The information in the sources points very clearly further north, toward modern Mo</w:t>
      </w:r>
      <w:r w:rsidR="003E3FC5">
        <w:rPr>
          <w:rFonts w:ascii="Arial" w:hAnsi="Arial"/>
          <w:sz w:val="24"/>
          <w:szCs w:val="24"/>
        </w:rPr>
        <w:t>diin</w:t>
      </w:r>
      <w:r w:rsidRPr="00FC7BF8">
        <w:rPr>
          <w:rFonts w:ascii="Arial" w:hAnsi="Arial"/>
          <w:sz w:val="24"/>
          <w:szCs w:val="24"/>
        </w:rPr>
        <w:t xml:space="preserve">. </w:t>
      </w: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 xml:space="preserve">  </w:t>
      </w: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Scholars have found a preservation of the name Mo</w:t>
      </w:r>
      <w:r w:rsidR="003E3FC5">
        <w:rPr>
          <w:rFonts w:ascii="Arial" w:hAnsi="Arial"/>
          <w:sz w:val="24"/>
          <w:szCs w:val="24"/>
        </w:rPr>
        <w:t>diin</w:t>
      </w:r>
      <w:r w:rsidRPr="00FC7BF8">
        <w:rPr>
          <w:rFonts w:ascii="Arial" w:hAnsi="Arial"/>
          <w:sz w:val="24"/>
          <w:szCs w:val="24"/>
        </w:rPr>
        <w:t xml:space="preserve"> in the name of the Arab village of al-Midya, located near the town of Hashmonaim.</w:t>
      </w:r>
      <w:r w:rsidRPr="00FC7BF8">
        <w:rPr>
          <w:rStyle w:val="FootnoteReference"/>
          <w:rFonts w:ascii="Arial" w:hAnsi="Arial" w:cs="Arial"/>
          <w:sz w:val="24"/>
          <w:szCs w:val="24"/>
        </w:rPr>
        <w:footnoteReference w:id="1"/>
      </w:r>
      <w:r w:rsidRPr="00FC7BF8">
        <w:rPr>
          <w:rFonts w:ascii="Arial" w:hAnsi="Arial"/>
          <w:sz w:val="24"/>
          <w:szCs w:val="24"/>
        </w:rPr>
        <w:t xml:space="preserve"> Several locations have been suggested as the precise location of ancient Mo</w:t>
      </w:r>
      <w:r w:rsidR="003E3FC5">
        <w:rPr>
          <w:rFonts w:ascii="Arial" w:hAnsi="Arial"/>
          <w:sz w:val="24"/>
          <w:szCs w:val="24"/>
        </w:rPr>
        <w:t>diin</w:t>
      </w:r>
      <w:r w:rsidRPr="00FC7BF8">
        <w:rPr>
          <w:rFonts w:ascii="Arial" w:hAnsi="Arial"/>
          <w:sz w:val="24"/>
          <w:szCs w:val="24"/>
        </w:rPr>
        <w:t>. Adjacent to the residential area in al-Midya, there is a tell that many have identified with Mo</w:t>
      </w:r>
      <w:r w:rsidR="003E3FC5">
        <w:rPr>
          <w:rFonts w:ascii="Arial" w:hAnsi="Arial"/>
          <w:sz w:val="24"/>
          <w:szCs w:val="24"/>
        </w:rPr>
        <w:t>diin</w:t>
      </w:r>
      <w:r w:rsidRPr="00FC7BF8">
        <w:rPr>
          <w:rFonts w:ascii="Arial" w:hAnsi="Arial"/>
          <w:sz w:val="24"/>
          <w:szCs w:val="24"/>
        </w:rPr>
        <w:t>, but this is unlikely; the remnants of city life found at the tell date back to the biblical period, while there are relatively few remnants from the Second Temple period. Some suggested Titura Hill, formerly known as Qal’at Tantura,</w:t>
      </w:r>
      <w:r w:rsidRPr="00FC7BF8">
        <w:rPr>
          <w:rStyle w:val="FootnoteReference"/>
          <w:rFonts w:ascii="Arial" w:hAnsi="Arial" w:cs="Arial"/>
          <w:sz w:val="24"/>
          <w:szCs w:val="24"/>
        </w:rPr>
        <w:footnoteReference w:id="2"/>
      </w:r>
      <w:r w:rsidRPr="00FC7BF8">
        <w:rPr>
          <w:rFonts w:ascii="Arial" w:hAnsi="Arial"/>
          <w:sz w:val="24"/>
          <w:szCs w:val="24"/>
        </w:rPr>
        <w:t xml:space="preserve"> or Khirbet al-Burj,</w:t>
      </w:r>
      <w:r w:rsidRPr="00FC7BF8">
        <w:rPr>
          <w:rStyle w:val="FootnoteReference"/>
          <w:rFonts w:ascii="Arial" w:hAnsi="Arial" w:cs="Arial"/>
          <w:sz w:val="24"/>
          <w:szCs w:val="24"/>
        </w:rPr>
        <w:footnoteReference w:id="3"/>
      </w:r>
      <w:r w:rsidRPr="00FC7BF8">
        <w:rPr>
          <w:rFonts w:ascii="Arial" w:hAnsi="Arial"/>
          <w:sz w:val="24"/>
          <w:szCs w:val="24"/>
        </w:rPr>
        <w:t xml:space="preserve"> a large ruin on a hilltop where findings from throughout history have been unearthed, located north of modern Mo</w:t>
      </w:r>
      <w:r w:rsidR="003E3FC5">
        <w:rPr>
          <w:rFonts w:ascii="Arial" w:hAnsi="Arial"/>
          <w:sz w:val="24"/>
          <w:szCs w:val="24"/>
        </w:rPr>
        <w:t>diin</w:t>
      </w:r>
      <w:r w:rsidRPr="00FC7BF8">
        <w:rPr>
          <w:rFonts w:ascii="Arial" w:hAnsi="Arial"/>
          <w:sz w:val="24"/>
          <w:szCs w:val="24"/>
        </w:rPr>
        <w:t>.</w:t>
      </w:r>
      <w:r w:rsidRPr="00FC7BF8">
        <w:rPr>
          <w:rStyle w:val="FootnoteReference"/>
          <w:rFonts w:ascii="Arial" w:hAnsi="Arial" w:cs="Arial"/>
          <w:sz w:val="24"/>
          <w:szCs w:val="24"/>
        </w:rPr>
        <w:footnoteReference w:id="4"/>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Recently, two new theories have been suggested. In 2004, it was suggested that ancient Mo</w:t>
      </w:r>
      <w:r w:rsidR="003E3FC5">
        <w:rPr>
          <w:rFonts w:ascii="Arial" w:hAnsi="Arial"/>
          <w:sz w:val="24"/>
          <w:szCs w:val="24"/>
        </w:rPr>
        <w:t>diin</w:t>
      </w:r>
      <w:r w:rsidRPr="00FC7BF8">
        <w:rPr>
          <w:rFonts w:ascii="Arial" w:hAnsi="Arial"/>
          <w:sz w:val="24"/>
          <w:szCs w:val="24"/>
        </w:rPr>
        <w:t xml:space="preserve"> might be identified with Khirbet Umm al-Umdan – “the ruin of the pillars” – </w:t>
      </w:r>
      <w:r>
        <w:rPr>
          <w:rFonts w:ascii="Arial" w:hAnsi="Arial"/>
          <w:sz w:val="24"/>
          <w:szCs w:val="24"/>
        </w:rPr>
        <w:t>o</w:t>
      </w:r>
      <w:r w:rsidRPr="00FC7BF8">
        <w:rPr>
          <w:rFonts w:ascii="Arial" w:hAnsi="Arial"/>
          <w:sz w:val="24"/>
          <w:szCs w:val="24"/>
        </w:rPr>
        <w:t>n</w:t>
      </w:r>
      <w:r>
        <w:rPr>
          <w:rFonts w:ascii="Arial" w:hAnsi="Arial"/>
          <w:sz w:val="24"/>
          <w:szCs w:val="24"/>
        </w:rPr>
        <w:t xml:space="preserve"> the southern edge of modern</w:t>
      </w:r>
      <w:r w:rsidRPr="00FC7BF8">
        <w:rPr>
          <w:rFonts w:ascii="Arial" w:hAnsi="Arial"/>
          <w:sz w:val="24"/>
          <w:szCs w:val="24"/>
        </w:rPr>
        <w:t xml:space="preserve"> Mo</w:t>
      </w:r>
      <w:r w:rsidR="003E3FC5">
        <w:rPr>
          <w:rFonts w:ascii="Arial" w:hAnsi="Arial"/>
          <w:sz w:val="24"/>
          <w:szCs w:val="24"/>
        </w:rPr>
        <w:t>diin</w:t>
      </w:r>
      <w:r w:rsidRPr="00FC7BF8">
        <w:rPr>
          <w:rFonts w:ascii="Arial" w:hAnsi="Arial"/>
          <w:sz w:val="24"/>
          <w:szCs w:val="24"/>
        </w:rPr>
        <w:t>. This site was excavated in 2001, when remnants were found of a town that existed mostly during the Hellenistic period and the Hasmonean period, and lasted until the Bar Kokhba revolt. A public building at the heart of the site was identified by the excavators as an ancient synagogue from the Hasmonean period, perhaps the oldest known synagogue today. According to the excavators, while the name “Umdan” has a very feasible interpretation – indeed, pillars were found at the site – it may still be that the name represents some kind of evolution from the name Mo</w:t>
      </w:r>
      <w:r w:rsidR="003E3FC5">
        <w:rPr>
          <w:rFonts w:ascii="Arial" w:hAnsi="Arial"/>
          <w:sz w:val="24"/>
          <w:szCs w:val="24"/>
        </w:rPr>
        <w:t>diin</w:t>
      </w:r>
      <w:r w:rsidRPr="00FC7BF8">
        <w:rPr>
          <w:rFonts w:ascii="Arial" w:hAnsi="Arial"/>
          <w:sz w:val="24"/>
          <w:szCs w:val="24"/>
        </w:rPr>
        <w:t>.</w:t>
      </w:r>
      <w:r w:rsidRPr="00FC7BF8">
        <w:rPr>
          <w:rStyle w:val="FootnoteReference"/>
          <w:rFonts w:ascii="Arial" w:hAnsi="Arial" w:cs="Arial"/>
          <w:sz w:val="24"/>
          <w:szCs w:val="24"/>
        </w:rPr>
        <w:footnoteReference w:id="5"/>
      </w:r>
      <w:r w:rsidRPr="00FC7BF8">
        <w:rPr>
          <w:rFonts w:ascii="Arial" w:hAnsi="Arial"/>
          <w:sz w:val="24"/>
          <w:szCs w:val="24"/>
        </w:rPr>
        <w:t xml:space="preserve"> In 2008, the location of ancient Mo</w:t>
      </w:r>
      <w:r w:rsidR="003E3FC5">
        <w:rPr>
          <w:rFonts w:ascii="Arial" w:hAnsi="Arial"/>
          <w:sz w:val="24"/>
          <w:szCs w:val="24"/>
        </w:rPr>
        <w:t>diin</w:t>
      </w:r>
      <w:r w:rsidRPr="00FC7BF8">
        <w:rPr>
          <w:rFonts w:ascii="Arial" w:hAnsi="Arial"/>
          <w:sz w:val="24"/>
          <w:szCs w:val="24"/>
        </w:rPr>
        <w:t xml:space="preserve"> was debated further in the research of Boaz Zissu and Lior Perry. Zissu and Perry rejected the earlier identifications based on both archaeological reasons and methodological reasons. In the end, the pair opted to identify Mo</w:t>
      </w:r>
      <w:r w:rsidR="003E3FC5">
        <w:rPr>
          <w:rFonts w:ascii="Arial" w:hAnsi="Arial"/>
          <w:sz w:val="24"/>
          <w:szCs w:val="24"/>
        </w:rPr>
        <w:t>diin</w:t>
      </w:r>
      <w:r w:rsidRPr="00FC7BF8">
        <w:rPr>
          <w:rFonts w:ascii="Arial" w:hAnsi="Arial"/>
          <w:sz w:val="24"/>
          <w:szCs w:val="24"/>
        </w:rPr>
        <w:t xml:space="preserve"> with Khirbet Hammam, formerly known as Khirbet al-Midya, in the vicinity of </w:t>
      </w:r>
      <w:r>
        <w:rPr>
          <w:rFonts w:ascii="Arial" w:hAnsi="Arial"/>
          <w:sz w:val="24"/>
          <w:szCs w:val="24"/>
        </w:rPr>
        <w:t>the “Tombs of the Maccabees</w:t>
      </w:r>
      <w:r w:rsidRPr="00FC7BF8">
        <w:rPr>
          <w:rFonts w:ascii="Arial" w:hAnsi="Arial"/>
          <w:sz w:val="24"/>
          <w:szCs w:val="24"/>
        </w:rPr>
        <w:t>.</w:t>
      </w:r>
      <w:r>
        <w:rPr>
          <w:rFonts w:ascii="Arial" w:hAnsi="Arial"/>
          <w:sz w:val="24"/>
          <w:szCs w:val="24"/>
        </w:rPr>
        <w:t>”</w:t>
      </w:r>
      <w:r w:rsidRPr="00FC7BF8">
        <w:rPr>
          <w:rFonts w:ascii="Arial" w:hAnsi="Arial"/>
          <w:sz w:val="24"/>
          <w:szCs w:val="24"/>
        </w:rPr>
        <w:t xml:space="preserve"> Numerous burial caves, built in the typical Jewish style, were found at the foot of the ruin. On one of the ossuaries found with the caves (in a series of salvage digs conducted in 1995 by Shimon Riklin), the names “Simon” and “Eleazar” were inscribed.</w:t>
      </w:r>
    </w:p>
    <w:p w:rsidR="008C2418" w:rsidRPr="00FC7BF8" w:rsidRDefault="008C2418" w:rsidP="00906BAF">
      <w:pPr>
        <w:spacing w:after="0" w:line="240" w:lineRule="auto"/>
        <w:jc w:val="both"/>
        <w:rPr>
          <w:rFonts w:ascii="Arial" w:hAnsi="Arial"/>
          <w:sz w:val="24"/>
          <w:szCs w:val="24"/>
        </w:rPr>
      </w:pPr>
    </w:p>
    <w:p w:rsidR="008C2418" w:rsidRPr="00FC7BF8" w:rsidRDefault="008C2418" w:rsidP="00C47E66">
      <w:pPr>
        <w:spacing w:after="0" w:line="240" w:lineRule="auto"/>
        <w:jc w:val="both"/>
        <w:rPr>
          <w:rFonts w:ascii="Arial" w:hAnsi="Arial"/>
          <w:sz w:val="24"/>
          <w:szCs w:val="24"/>
        </w:rPr>
      </w:pPr>
      <w:r w:rsidRPr="00FC7BF8">
        <w:rPr>
          <w:rFonts w:ascii="Arial" w:hAnsi="Arial"/>
          <w:sz w:val="24"/>
          <w:szCs w:val="24"/>
        </w:rPr>
        <w:tab/>
        <w:t xml:space="preserve">Let us summarize what we have established </w:t>
      </w:r>
      <w:r w:rsidR="00C47E66">
        <w:rPr>
          <w:rFonts w:ascii="Arial" w:hAnsi="Arial"/>
          <w:sz w:val="24"/>
          <w:szCs w:val="24"/>
        </w:rPr>
        <w:t xml:space="preserve">until this point. </w:t>
      </w:r>
      <w:r w:rsidRPr="00FC7BF8">
        <w:rPr>
          <w:rFonts w:ascii="Arial" w:hAnsi="Arial"/>
          <w:sz w:val="24"/>
          <w:szCs w:val="24"/>
        </w:rPr>
        <w:t>Two separate passages in I Maccabees seem to indicate that Mo</w:t>
      </w:r>
      <w:r w:rsidR="003E3FC5">
        <w:rPr>
          <w:rFonts w:ascii="Arial" w:hAnsi="Arial"/>
          <w:sz w:val="24"/>
          <w:szCs w:val="24"/>
        </w:rPr>
        <w:t>diin</w:t>
      </w:r>
      <w:r w:rsidRPr="00FC7BF8">
        <w:rPr>
          <w:rFonts w:ascii="Arial" w:hAnsi="Arial"/>
          <w:sz w:val="24"/>
          <w:szCs w:val="24"/>
        </w:rPr>
        <w:t xml:space="preserve"> was located in the inner Shephelah, on the border of the hillsides and the plains, not far from the latitude of Yavne and Ashdod. The tombs of the Maccabees were a prominent site, visible even from afar. In the Byzantine period, Mo</w:t>
      </w:r>
      <w:r w:rsidR="003E3FC5">
        <w:rPr>
          <w:rFonts w:ascii="Arial" w:hAnsi="Arial"/>
          <w:sz w:val="24"/>
          <w:szCs w:val="24"/>
        </w:rPr>
        <w:t>diin</w:t>
      </w:r>
      <w:r w:rsidRPr="00FC7BF8">
        <w:rPr>
          <w:rFonts w:ascii="Arial" w:hAnsi="Arial"/>
          <w:sz w:val="24"/>
          <w:szCs w:val="24"/>
        </w:rPr>
        <w:t xml:space="preserve"> and the tombs of the Maccabees were known to be located east of Lod, in the vicinity of modern Mo</w:t>
      </w:r>
      <w:r w:rsidR="003E3FC5">
        <w:rPr>
          <w:rFonts w:ascii="Arial" w:hAnsi="Arial"/>
          <w:sz w:val="24"/>
          <w:szCs w:val="24"/>
        </w:rPr>
        <w:t>diin</w:t>
      </w:r>
      <w:r w:rsidRPr="00FC7BF8">
        <w:rPr>
          <w:rFonts w:ascii="Arial" w:hAnsi="Arial"/>
          <w:sz w:val="24"/>
          <w:szCs w:val="24"/>
        </w:rPr>
        <w:t>. It is reasonable to assume that the information we have gleaned from the Byzantine-era sources is reliable, and that it is based on an authentic tradition. The precise location of ancient Mo</w:t>
      </w:r>
      <w:r w:rsidR="003E3FC5">
        <w:rPr>
          <w:rFonts w:ascii="Arial" w:hAnsi="Arial"/>
          <w:sz w:val="24"/>
          <w:szCs w:val="24"/>
        </w:rPr>
        <w:t>diin</w:t>
      </w:r>
      <w:r w:rsidRPr="00FC7BF8">
        <w:rPr>
          <w:rFonts w:ascii="Arial" w:hAnsi="Arial"/>
          <w:sz w:val="24"/>
          <w:szCs w:val="24"/>
        </w:rPr>
        <w:t xml:space="preserve"> within the greater Mo</w:t>
      </w:r>
      <w:r w:rsidR="003E3FC5">
        <w:rPr>
          <w:rFonts w:ascii="Arial" w:hAnsi="Arial"/>
          <w:sz w:val="24"/>
          <w:szCs w:val="24"/>
        </w:rPr>
        <w:t>diin</w:t>
      </w:r>
      <w:r w:rsidRPr="00FC7BF8">
        <w:rPr>
          <w:rFonts w:ascii="Arial" w:hAnsi="Arial"/>
          <w:sz w:val="24"/>
          <w:szCs w:val="24"/>
        </w:rPr>
        <w:t xml:space="preserve"> area has not been determined conclusively.</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b/>
          <w:bCs/>
          <w:sz w:val="24"/>
          <w:szCs w:val="24"/>
        </w:rPr>
      </w:pPr>
      <w:r w:rsidRPr="00FC7BF8">
        <w:rPr>
          <w:rFonts w:ascii="Arial" w:hAnsi="Arial"/>
          <w:b/>
          <w:bCs/>
          <w:sz w:val="24"/>
          <w:szCs w:val="24"/>
        </w:rPr>
        <w:t>Complications Arise</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b/>
          <w:bCs/>
          <w:sz w:val="24"/>
          <w:szCs w:val="24"/>
        </w:rPr>
        <w:tab/>
      </w:r>
      <w:r w:rsidRPr="00FC7BF8">
        <w:rPr>
          <w:rFonts w:ascii="Arial" w:hAnsi="Arial"/>
          <w:sz w:val="24"/>
          <w:szCs w:val="24"/>
        </w:rPr>
        <w:t>Mo</w:t>
      </w:r>
      <w:r w:rsidR="003E3FC5">
        <w:rPr>
          <w:rFonts w:ascii="Arial" w:hAnsi="Arial"/>
          <w:sz w:val="24"/>
          <w:szCs w:val="24"/>
        </w:rPr>
        <w:t>diin</w:t>
      </w:r>
      <w:r w:rsidRPr="00FC7BF8">
        <w:rPr>
          <w:rFonts w:ascii="Arial" w:hAnsi="Arial"/>
          <w:sz w:val="24"/>
          <w:szCs w:val="24"/>
        </w:rPr>
        <w:t xml:space="preserve"> is mentioned in the Mishna on two separate occasions as a name for the outermost reaches of Jerusalem’s borders. The Mishna states: “What is ‘a far-off journey’?</w:t>
      </w:r>
      <w:r w:rsidRPr="00FC7BF8">
        <w:rPr>
          <w:rStyle w:val="FootnoteReference"/>
          <w:rFonts w:ascii="Arial" w:hAnsi="Arial" w:cs="Arial"/>
          <w:sz w:val="24"/>
          <w:szCs w:val="24"/>
        </w:rPr>
        <w:footnoteReference w:id="6"/>
      </w:r>
      <w:r w:rsidRPr="00FC7BF8">
        <w:rPr>
          <w:rFonts w:ascii="Arial" w:hAnsi="Arial"/>
          <w:sz w:val="24"/>
          <w:szCs w:val="24"/>
        </w:rPr>
        <w:t xml:space="preserve"> From Modi’im and beyond, and the same distance on all sides [of Jerusalem]; this is R. Akiba’s opinion” (</w:t>
      </w:r>
      <w:r w:rsidRPr="00FC7BF8">
        <w:rPr>
          <w:rFonts w:ascii="Arial" w:hAnsi="Arial"/>
          <w:i/>
          <w:iCs/>
          <w:sz w:val="24"/>
          <w:szCs w:val="24"/>
        </w:rPr>
        <w:t>Pesachim</w:t>
      </w:r>
      <w:r>
        <w:rPr>
          <w:rFonts w:ascii="Arial" w:hAnsi="Arial"/>
          <w:i/>
          <w:iCs/>
          <w:sz w:val="24"/>
          <w:szCs w:val="24"/>
        </w:rPr>
        <w:t xml:space="preserve"> </w:t>
      </w:r>
      <w:r>
        <w:rPr>
          <w:rFonts w:ascii="Arial" w:hAnsi="Arial"/>
          <w:sz w:val="24"/>
          <w:szCs w:val="24"/>
        </w:rPr>
        <w:t>9:2</w:t>
      </w:r>
      <w:r w:rsidRPr="00FC7BF8">
        <w:rPr>
          <w:rFonts w:ascii="Arial" w:hAnsi="Arial"/>
          <w:sz w:val="24"/>
          <w:szCs w:val="24"/>
        </w:rPr>
        <w:t>). Elsewhere we find: “From Modi’im inwards [the potters] are trusted in regard to earthenware vessels” (</w:t>
      </w:r>
      <w:r w:rsidRPr="00FC7BF8">
        <w:rPr>
          <w:rFonts w:ascii="Arial" w:hAnsi="Arial"/>
          <w:i/>
          <w:iCs/>
          <w:sz w:val="24"/>
          <w:szCs w:val="24"/>
        </w:rPr>
        <w:t xml:space="preserve">Chagiga </w:t>
      </w:r>
      <w:r>
        <w:rPr>
          <w:rFonts w:ascii="Arial" w:hAnsi="Arial"/>
          <w:sz w:val="24"/>
          <w:szCs w:val="24"/>
        </w:rPr>
        <w:t>3:5</w:t>
      </w:r>
      <w:r w:rsidRPr="00FC7BF8">
        <w:rPr>
          <w:rFonts w:ascii="Arial" w:hAnsi="Arial"/>
          <w:sz w:val="24"/>
          <w:szCs w:val="24"/>
        </w:rPr>
        <w:t>). In other words, from Mo</w:t>
      </w:r>
      <w:r w:rsidR="003E3FC5">
        <w:rPr>
          <w:rFonts w:ascii="Arial" w:hAnsi="Arial"/>
          <w:sz w:val="24"/>
          <w:szCs w:val="24"/>
        </w:rPr>
        <w:t>diin</w:t>
      </w:r>
      <w:r w:rsidRPr="00FC7BF8">
        <w:rPr>
          <w:rFonts w:ascii="Arial" w:hAnsi="Arial"/>
          <w:sz w:val="24"/>
          <w:szCs w:val="24"/>
        </w:rPr>
        <w:t xml:space="preserve"> inwards one may purchase earthenware from any merchant, even if he is an </w:t>
      </w:r>
      <w:r w:rsidRPr="00FC7BF8">
        <w:rPr>
          <w:rFonts w:ascii="Arial" w:hAnsi="Arial"/>
          <w:i/>
          <w:iCs/>
          <w:sz w:val="24"/>
          <w:szCs w:val="24"/>
        </w:rPr>
        <w:t xml:space="preserve">am ha-aretz </w:t>
      </w:r>
      <w:r w:rsidRPr="00FC7BF8">
        <w:rPr>
          <w:rFonts w:ascii="Arial" w:hAnsi="Arial"/>
          <w:sz w:val="24"/>
          <w:szCs w:val="24"/>
        </w:rPr>
        <w:t xml:space="preserve">(one who is ignorant of the laws of ritual purity). The purpose of this leniency was to allow the entire nation to celebrate the festivals together in Jerusalem. </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ind w:firstLine="720"/>
        <w:jc w:val="both"/>
        <w:rPr>
          <w:rFonts w:ascii="Arial" w:hAnsi="Arial"/>
          <w:color w:val="000000"/>
          <w:sz w:val="24"/>
          <w:szCs w:val="24"/>
          <w:shd w:val="clear" w:color="auto" w:fill="FFFFFF"/>
        </w:rPr>
      </w:pPr>
      <w:r w:rsidRPr="00FC7BF8">
        <w:rPr>
          <w:rFonts w:ascii="Arial" w:hAnsi="Arial"/>
          <w:sz w:val="24"/>
          <w:szCs w:val="24"/>
        </w:rPr>
        <w:t>It seems from these examples that Mo</w:t>
      </w:r>
      <w:r w:rsidR="003E3FC5">
        <w:rPr>
          <w:rFonts w:ascii="Arial" w:hAnsi="Arial"/>
          <w:sz w:val="24"/>
          <w:szCs w:val="24"/>
        </w:rPr>
        <w:t>diin</w:t>
      </w:r>
      <w:r w:rsidRPr="00FC7BF8">
        <w:rPr>
          <w:rFonts w:ascii="Arial" w:hAnsi="Arial"/>
          <w:sz w:val="24"/>
          <w:szCs w:val="24"/>
        </w:rPr>
        <w:t xml:space="preserve"> refers to the border of Jerusalem. But where is this border located? The Gemara following the mishna cited above</w:t>
      </w:r>
      <w:r>
        <w:rPr>
          <w:rFonts w:ascii="Arial" w:hAnsi="Arial"/>
          <w:sz w:val="24"/>
          <w:szCs w:val="24"/>
        </w:rPr>
        <w:t xml:space="preserve"> (</w:t>
      </w:r>
      <w:r>
        <w:rPr>
          <w:rFonts w:ascii="Arial" w:hAnsi="Arial"/>
          <w:i/>
          <w:iCs/>
          <w:sz w:val="24"/>
          <w:szCs w:val="24"/>
        </w:rPr>
        <w:t xml:space="preserve">Pesachim </w:t>
      </w:r>
      <w:r>
        <w:rPr>
          <w:rFonts w:ascii="Arial" w:hAnsi="Arial"/>
          <w:sz w:val="24"/>
          <w:szCs w:val="24"/>
        </w:rPr>
        <w:t>93b)</w:t>
      </w:r>
      <w:r w:rsidRPr="00FC7BF8">
        <w:rPr>
          <w:rFonts w:ascii="Arial" w:hAnsi="Arial"/>
          <w:sz w:val="24"/>
          <w:szCs w:val="24"/>
        </w:rPr>
        <w:t xml:space="preserve"> explains, in a position ascribed to the Palestinian </w:t>
      </w:r>
      <w:r w:rsidRPr="00FC7BF8">
        <w:rPr>
          <w:rFonts w:ascii="Arial" w:hAnsi="Arial"/>
          <w:i/>
          <w:iCs/>
          <w:sz w:val="24"/>
          <w:szCs w:val="24"/>
        </w:rPr>
        <w:t>amora</w:t>
      </w:r>
      <w:r w:rsidRPr="00FC7BF8">
        <w:rPr>
          <w:rFonts w:ascii="Arial" w:hAnsi="Arial"/>
          <w:sz w:val="24"/>
          <w:szCs w:val="24"/>
        </w:rPr>
        <w:t xml:space="preserve"> Ulla, that “from Modi’im to Jerusalem is 15 miles</w:t>
      </w:r>
      <w:r>
        <w:rPr>
          <w:rFonts w:ascii="Arial" w:hAnsi="Arial"/>
          <w:sz w:val="24"/>
          <w:szCs w:val="24"/>
        </w:rPr>
        <w:t xml:space="preserve"> (</w:t>
      </w:r>
      <w:r>
        <w:rPr>
          <w:rFonts w:ascii="Arial" w:hAnsi="Arial"/>
          <w:i/>
          <w:iCs/>
          <w:sz w:val="24"/>
          <w:szCs w:val="24"/>
        </w:rPr>
        <w:t>mil</w:t>
      </w:r>
      <w:r>
        <w:rPr>
          <w:rFonts w:ascii="Arial" w:hAnsi="Arial"/>
          <w:sz w:val="24"/>
          <w:szCs w:val="24"/>
        </w:rPr>
        <w:t>)</w:t>
      </w:r>
      <w:r w:rsidRPr="00FC7BF8">
        <w:rPr>
          <w:rFonts w:ascii="Arial" w:hAnsi="Arial"/>
          <w:sz w:val="24"/>
          <w:szCs w:val="24"/>
        </w:rPr>
        <w:t>.” The problem with this is that fifteen miles is a much shorter distance than the distance between Jerusalem and the Mo</w:t>
      </w:r>
      <w:r w:rsidR="003E3FC5">
        <w:rPr>
          <w:rFonts w:ascii="Arial" w:hAnsi="Arial"/>
          <w:sz w:val="24"/>
          <w:szCs w:val="24"/>
        </w:rPr>
        <w:t>diin</w:t>
      </w:r>
      <w:r w:rsidRPr="00FC7BF8">
        <w:rPr>
          <w:rFonts w:ascii="Arial" w:hAnsi="Arial"/>
          <w:sz w:val="24"/>
          <w:szCs w:val="24"/>
        </w:rPr>
        <w:t xml:space="preserve"> we have been discussing until this point, on the border of Shephelat Lod. How can we deal with this discrepancy? As a result of these Talmudic sources, some</w:t>
      </w:r>
      <w:r>
        <w:rPr>
          <w:rFonts w:ascii="Arial" w:hAnsi="Arial"/>
          <w:sz w:val="24"/>
          <w:szCs w:val="24"/>
        </w:rPr>
        <w:t xml:space="preserve"> authors ignored the evidence in Maccabees and the Greek sources and</w:t>
      </w:r>
      <w:r w:rsidRPr="00FC7BF8">
        <w:rPr>
          <w:rFonts w:ascii="Arial" w:hAnsi="Arial"/>
          <w:sz w:val="24"/>
          <w:szCs w:val="24"/>
        </w:rPr>
        <w:t xml:space="preserve"> suggested identifying ancient Mo</w:t>
      </w:r>
      <w:r w:rsidR="003E3FC5">
        <w:rPr>
          <w:rFonts w:ascii="Arial" w:hAnsi="Arial"/>
          <w:sz w:val="24"/>
          <w:szCs w:val="24"/>
        </w:rPr>
        <w:t>diin</w:t>
      </w:r>
      <w:r w:rsidRPr="00FC7BF8">
        <w:rPr>
          <w:rFonts w:ascii="Arial" w:hAnsi="Arial"/>
          <w:sz w:val="24"/>
          <w:szCs w:val="24"/>
        </w:rPr>
        <w:t xml:space="preserve"> with a point located much closer to Jerusalem, in the mountainous region surrounding the city. </w:t>
      </w:r>
      <w:r>
        <w:rPr>
          <w:rFonts w:ascii="Arial" w:hAnsi="Arial"/>
          <w:sz w:val="24"/>
          <w:szCs w:val="24"/>
        </w:rPr>
        <w:t>Thus</w:t>
      </w:r>
      <w:r w:rsidRPr="00C94386">
        <w:rPr>
          <w:rFonts w:ascii="Arial" w:hAnsi="Arial"/>
          <w:sz w:val="24"/>
          <w:szCs w:val="24"/>
        </w:rPr>
        <w:t xml:space="preserve"> </w:t>
      </w:r>
      <w:r w:rsidRPr="00E95CD7">
        <w:rPr>
          <w:rFonts w:ascii="Arial" w:hAnsi="Arial"/>
          <w:sz w:val="24"/>
          <w:szCs w:val="24"/>
        </w:rPr>
        <w:t>R. Joseph Schwarz in 1845 chose the Giv’at Ye’arim-Ksalon ridge, while Yitzhak Goldhor in 1913 chose the desert of Tekoa.</w:t>
      </w:r>
      <w:r w:rsidRPr="00C94386">
        <w:rPr>
          <w:rFonts w:ascii="Arial" w:hAnsi="Arial"/>
          <w:sz w:val="24"/>
          <w:szCs w:val="24"/>
        </w:rPr>
        <w:t xml:space="preserve"> Additionally, some Christian and M</w:t>
      </w:r>
      <w:r w:rsidRPr="00FC7BF8">
        <w:rPr>
          <w:rFonts w:ascii="Arial" w:hAnsi="Arial"/>
          <w:sz w:val="24"/>
          <w:szCs w:val="24"/>
        </w:rPr>
        <w:t>uslim traditions identified Mo</w:t>
      </w:r>
      <w:r w:rsidR="003E3FC5">
        <w:rPr>
          <w:rFonts w:ascii="Arial" w:hAnsi="Arial"/>
          <w:sz w:val="24"/>
          <w:szCs w:val="24"/>
        </w:rPr>
        <w:t>diin</w:t>
      </w:r>
      <w:r w:rsidRPr="00FC7BF8">
        <w:rPr>
          <w:rFonts w:ascii="Arial" w:hAnsi="Arial"/>
          <w:sz w:val="24"/>
          <w:szCs w:val="24"/>
        </w:rPr>
        <w:t xml:space="preserve"> with Suba (as reported by Victor </w:t>
      </w:r>
      <w:r w:rsidRPr="00FC7BF8">
        <w:rPr>
          <w:rFonts w:ascii="Arial" w:hAnsi="Arial"/>
          <w:color w:val="000000"/>
          <w:sz w:val="24"/>
          <w:szCs w:val="24"/>
          <w:shd w:val="clear" w:color="auto" w:fill="FFFFFF"/>
        </w:rPr>
        <w:t>Guérin). However, once again, Mo</w:t>
      </w:r>
      <w:r w:rsidR="003E3FC5">
        <w:rPr>
          <w:rFonts w:ascii="Arial" w:hAnsi="Arial"/>
          <w:color w:val="000000"/>
          <w:sz w:val="24"/>
          <w:szCs w:val="24"/>
          <w:shd w:val="clear" w:color="auto" w:fill="FFFFFF"/>
        </w:rPr>
        <w:t>diin</w:t>
      </w:r>
      <w:r w:rsidRPr="00FC7BF8">
        <w:rPr>
          <w:rFonts w:ascii="Arial" w:hAnsi="Arial"/>
          <w:color w:val="000000"/>
          <w:sz w:val="24"/>
          <w:szCs w:val="24"/>
          <w:shd w:val="clear" w:color="auto" w:fill="FFFFFF"/>
        </w:rPr>
        <w:t>’s proximity to the Shephelah is practically proven by the account in I Maccabees, and moreover, it is difficult to question the authenticity of the early Christian traditions that seem to fundamentally match both the Mo</w:t>
      </w:r>
      <w:r w:rsidR="003E3FC5">
        <w:rPr>
          <w:rFonts w:ascii="Arial" w:hAnsi="Arial"/>
          <w:color w:val="000000"/>
          <w:sz w:val="24"/>
          <w:szCs w:val="24"/>
          <w:shd w:val="clear" w:color="auto" w:fill="FFFFFF"/>
        </w:rPr>
        <w:t>diin</w:t>
      </w:r>
      <w:r w:rsidRPr="00FC7BF8">
        <w:rPr>
          <w:rFonts w:ascii="Arial" w:hAnsi="Arial"/>
          <w:color w:val="000000"/>
          <w:sz w:val="24"/>
          <w:szCs w:val="24"/>
          <w:shd w:val="clear" w:color="auto" w:fill="FFFFFF"/>
        </w:rPr>
        <w:t xml:space="preserve"> of I Maccabees and the Mo</w:t>
      </w:r>
      <w:r w:rsidR="003E3FC5">
        <w:rPr>
          <w:rFonts w:ascii="Arial" w:hAnsi="Arial"/>
          <w:color w:val="000000"/>
          <w:sz w:val="24"/>
          <w:szCs w:val="24"/>
          <w:shd w:val="clear" w:color="auto" w:fill="FFFFFF"/>
        </w:rPr>
        <w:t>diin</w:t>
      </w:r>
      <w:r w:rsidRPr="00FC7BF8">
        <w:rPr>
          <w:rFonts w:ascii="Arial" w:hAnsi="Arial"/>
          <w:color w:val="000000"/>
          <w:sz w:val="24"/>
          <w:szCs w:val="24"/>
          <w:shd w:val="clear" w:color="auto" w:fill="FFFFFF"/>
        </w:rPr>
        <w:t xml:space="preserve"> of modern Israel. </w:t>
      </w:r>
    </w:p>
    <w:p w:rsidR="008C2418" w:rsidRPr="00FC7BF8" w:rsidRDefault="008C2418" w:rsidP="00906BAF">
      <w:pPr>
        <w:spacing w:after="0" w:line="240" w:lineRule="auto"/>
        <w:ind w:firstLine="720"/>
        <w:jc w:val="both"/>
        <w:rPr>
          <w:rFonts w:ascii="Arial" w:hAnsi="Arial"/>
          <w:color w:val="000000"/>
          <w:sz w:val="24"/>
          <w:szCs w:val="24"/>
          <w:shd w:val="clear" w:color="auto" w:fill="FFFFFF"/>
        </w:rPr>
      </w:pPr>
    </w:p>
    <w:p w:rsidR="008C2418" w:rsidRPr="00FC7BF8" w:rsidRDefault="008C2418" w:rsidP="00906BAF">
      <w:pPr>
        <w:spacing w:after="0" w:line="240" w:lineRule="auto"/>
        <w:ind w:firstLine="720"/>
        <w:jc w:val="both"/>
        <w:rPr>
          <w:rFonts w:ascii="Arial" w:hAnsi="Arial"/>
          <w:color w:val="000000"/>
          <w:sz w:val="24"/>
          <w:szCs w:val="24"/>
          <w:shd w:val="clear" w:color="auto" w:fill="FFFFFF"/>
        </w:rPr>
      </w:pPr>
      <w:r w:rsidRPr="00FC7BF8">
        <w:rPr>
          <w:rFonts w:ascii="Arial" w:hAnsi="Arial"/>
          <w:color w:val="000000"/>
          <w:sz w:val="24"/>
          <w:szCs w:val="24"/>
          <w:shd w:val="clear" w:color="auto" w:fill="FFFFFF"/>
        </w:rPr>
        <w:t>Talmudic geography scholar Samuel Klein, who saw the name “Mo</w:t>
      </w:r>
      <w:r w:rsidR="003E3FC5">
        <w:rPr>
          <w:rFonts w:ascii="Arial" w:hAnsi="Arial"/>
          <w:color w:val="000000"/>
          <w:sz w:val="24"/>
          <w:szCs w:val="24"/>
          <w:shd w:val="clear" w:color="auto" w:fill="FFFFFF"/>
        </w:rPr>
        <w:t>diin</w:t>
      </w:r>
      <w:r w:rsidRPr="00FC7BF8">
        <w:rPr>
          <w:rFonts w:ascii="Arial" w:hAnsi="Arial"/>
          <w:color w:val="000000"/>
          <w:sz w:val="24"/>
          <w:szCs w:val="24"/>
          <w:shd w:val="clear" w:color="auto" w:fill="FFFFFF"/>
        </w:rPr>
        <w:t>” as a territorial term, parallel to the phrase “</w:t>
      </w:r>
      <w:r w:rsidRPr="00FC7BF8">
        <w:rPr>
          <w:rFonts w:ascii="Arial" w:hAnsi="Arial"/>
          <w:i/>
          <w:iCs/>
          <w:color w:val="000000"/>
          <w:sz w:val="24"/>
          <w:szCs w:val="24"/>
          <w:shd w:val="clear" w:color="auto" w:fill="FFFFFF"/>
        </w:rPr>
        <w:t>Har Ha-moda’i</w:t>
      </w:r>
      <w:r w:rsidRPr="00FC7BF8">
        <w:rPr>
          <w:rFonts w:ascii="Arial" w:hAnsi="Arial"/>
          <w:color w:val="000000"/>
          <w:sz w:val="24"/>
          <w:szCs w:val="24"/>
          <w:shd w:val="clear" w:color="auto" w:fill="FFFFFF"/>
        </w:rPr>
        <w:t xml:space="preserve">” that appears in one of the </w:t>
      </w:r>
      <w:r w:rsidRPr="00FC7BF8">
        <w:rPr>
          <w:rFonts w:ascii="Arial" w:hAnsi="Arial"/>
          <w:color w:val="000000"/>
          <w:sz w:val="24"/>
          <w:szCs w:val="24"/>
          <w:shd w:val="clear" w:color="auto" w:fill="FFFFFF"/>
        </w:rPr>
        <w:lastRenderedPageBreak/>
        <w:t>later sources, proposed a compromise. Klein suggests that there were two parts of ancient Mo</w:t>
      </w:r>
      <w:r w:rsidR="003E3FC5">
        <w:rPr>
          <w:rFonts w:ascii="Arial" w:hAnsi="Arial"/>
          <w:color w:val="000000"/>
          <w:sz w:val="24"/>
          <w:szCs w:val="24"/>
          <w:shd w:val="clear" w:color="auto" w:fill="FFFFFF"/>
        </w:rPr>
        <w:t>diin</w:t>
      </w:r>
      <w:r w:rsidRPr="00FC7BF8">
        <w:rPr>
          <w:rFonts w:ascii="Arial" w:hAnsi="Arial"/>
          <w:color w:val="000000"/>
          <w:sz w:val="24"/>
          <w:szCs w:val="24"/>
          <w:shd w:val="clear" w:color="auto" w:fill="FFFFFF"/>
        </w:rPr>
        <w:t xml:space="preserve">. First, there is the “city” at the eastern end of the larger metropolis, which, being closer to Jerusalem, fits Ulla’s statement in </w:t>
      </w:r>
      <w:r w:rsidRPr="00FC7BF8">
        <w:rPr>
          <w:rFonts w:ascii="Arial" w:hAnsi="Arial"/>
          <w:i/>
          <w:iCs/>
          <w:color w:val="000000"/>
          <w:sz w:val="24"/>
          <w:szCs w:val="24"/>
          <w:shd w:val="clear" w:color="auto" w:fill="FFFFFF"/>
        </w:rPr>
        <w:t>Pesachim</w:t>
      </w:r>
      <w:r w:rsidRPr="00FC7BF8">
        <w:rPr>
          <w:rFonts w:ascii="Arial" w:hAnsi="Arial"/>
          <w:color w:val="000000"/>
          <w:sz w:val="24"/>
          <w:szCs w:val="24"/>
          <w:shd w:val="clear" w:color="auto" w:fill="FFFFFF"/>
        </w:rPr>
        <w:t>. Second, there is the “village” in the western end which fits Eusebius’s description and the Madaba Map. With all due r</w:t>
      </w:r>
      <w:bookmarkStart w:id="0" w:name="_GoBack"/>
      <w:bookmarkEnd w:id="0"/>
      <w:r w:rsidRPr="00FC7BF8">
        <w:rPr>
          <w:rFonts w:ascii="Arial" w:hAnsi="Arial"/>
          <w:color w:val="000000"/>
          <w:sz w:val="24"/>
          <w:szCs w:val="24"/>
          <w:shd w:val="clear" w:color="auto" w:fill="FFFFFF"/>
        </w:rPr>
        <w:t>espect to Prof. Klein, this theory seems unlikely.</w:t>
      </w:r>
    </w:p>
    <w:p w:rsidR="008C2418" w:rsidRPr="00FC7BF8" w:rsidRDefault="008C2418" w:rsidP="00906BAF">
      <w:pPr>
        <w:spacing w:after="0" w:line="240" w:lineRule="auto"/>
        <w:jc w:val="both"/>
        <w:rPr>
          <w:rFonts w:ascii="Arial" w:hAnsi="Arial"/>
          <w:color w:val="000000"/>
          <w:sz w:val="24"/>
          <w:szCs w:val="24"/>
          <w:shd w:val="clear" w:color="auto" w:fill="FFFFFF"/>
        </w:rPr>
      </w:pPr>
    </w:p>
    <w:p w:rsidR="008C2418" w:rsidRPr="00FC7BF8" w:rsidRDefault="008C2418" w:rsidP="00906BAF">
      <w:pPr>
        <w:spacing w:after="0" w:line="240" w:lineRule="auto"/>
        <w:jc w:val="both"/>
        <w:rPr>
          <w:rFonts w:ascii="Arial" w:hAnsi="Arial"/>
          <w:b/>
          <w:bCs/>
          <w:sz w:val="24"/>
          <w:szCs w:val="24"/>
        </w:rPr>
      </w:pPr>
      <w:r w:rsidRPr="00FC7BF8">
        <w:rPr>
          <w:rFonts w:ascii="Arial" w:hAnsi="Arial"/>
          <w:b/>
          <w:bCs/>
          <w:color w:val="000000"/>
          <w:sz w:val="24"/>
          <w:szCs w:val="24"/>
          <w:shd w:val="clear" w:color="auto" w:fill="FFFFFF"/>
        </w:rPr>
        <w:t>The Solution</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 xml:space="preserve">I believe that the following solution provides the answer to all the questions raised above. Upon analyzing the Gemara in </w:t>
      </w:r>
      <w:r w:rsidRPr="00FC7BF8">
        <w:rPr>
          <w:rFonts w:ascii="Arial" w:hAnsi="Arial"/>
          <w:i/>
          <w:iCs/>
          <w:sz w:val="24"/>
          <w:szCs w:val="24"/>
        </w:rPr>
        <w:t>Pesachim</w:t>
      </w:r>
      <w:r w:rsidRPr="00FC7BF8">
        <w:rPr>
          <w:rFonts w:ascii="Arial" w:hAnsi="Arial"/>
          <w:sz w:val="24"/>
          <w:szCs w:val="24"/>
        </w:rPr>
        <w:t>, a careful reader will note that Ulla’s position is emphatically rejected, using the strong language, “</w:t>
      </w:r>
      <w:r w:rsidRPr="00FC7BF8">
        <w:rPr>
          <w:rFonts w:ascii="Arial" w:hAnsi="Arial"/>
          <w:i/>
          <w:iCs/>
          <w:sz w:val="24"/>
          <w:szCs w:val="24"/>
        </w:rPr>
        <w:t>t</w:t>
      </w:r>
      <w:r>
        <w:rPr>
          <w:rFonts w:ascii="Arial" w:hAnsi="Arial"/>
          <w:i/>
          <w:iCs/>
          <w:sz w:val="24"/>
          <w:szCs w:val="24"/>
        </w:rPr>
        <w:t>e</w:t>
      </w:r>
      <w:r w:rsidRPr="00FC7BF8">
        <w:rPr>
          <w:rFonts w:ascii="Arial" w:hAnsi="Arial"/>
          <w:i/>
          <w:iCs/>
          <w:sz w:val="24"/>
          <w:szCs w:val="24"/>
        </w:rPr>
        <w:t>yuvta de-Ulla t</w:t>
      </w:r>
      <w:r>
        <w:rPr>
          <w:rFonts w:ascii="Arial" w:hAnsi="Arial"/>
          <w:i/>
          <w:iCs/>
          <w:sz w:val="24"/>
          <w:szCs w:val="24"/>
        </w:rPr>
        <w:t>e</w:t>
      </w:r>
      <w:r w:rsidRPr="00FC7BF8">
        <w:rPr>
          <w:rFonts w:ascii="Arial" w:hAnsi="Arial"/>
          <w:i/>
          <w:iCs/>
          <w:sz w:val="24"/>
          <w:szCs w:val="24"/>
        </w:rPr>
        <w:t>yuvta</w:t>
      </w:r>
      <w:r w:rsidRPr="00FC7BF8">
        <w:rPr>
          <w:rFonts w:ascii="Arial" w:hAnsi="Arial"/>
          <w:sz w:val="24"/>
          <w:szCs w:val="24"/>
        </w:rPr>
        <w:t>.”</w:t>
      </w:r>
      <w:r w:rsidRPr="00FC7BF8">
        <w:rPr>
          <w:rStyle w:val="FootnoteReference"/>
          <w:rFonts w:ascii="Arial" w:hAnsi="Arial" w:cs="Arial"/>
          <w:sz w:val="24"/>
          <w:szCs w:val="24"/>
        </w:rPr>
        <w:footnoteReference w:id="7"/>
      </w:r>
      <w:r w:rsidRPr="00FC7BF8">
        <w:rPr>
          <w:rFonts w:ascii="Arial" w:hAnsi="Arial"/>
          <w:sz w:val="24"/>
          <w:szCs w:val="24"/>
        </w:rPr>
        <w:t xml:space="preserve"> Ulla’s position was his attempt at quantifying the distance of a “far-off journey” mentioned in the mishna.</w:t>
      </w:r>
      <w:r>
        <w:rPr>
          <w:rFonts w:ascii="Arial" w:hAnsi="Arial"/>
          <w:sz w:val="24"/>
          <w:szCs w:val="24"/>
        </w:rPr>
        <w:t xml:space="preserve"> In his opinion,</w:t>
      </w:r>
      <w:r w:rsidRPr="00FC7BF8">
        <w:rPr>
          <w:rFonts w:ascii="Arial" w:hAnsi="Arial"/>
          <w:sz w:val="24"/>
          <w:szCs w:val="24"/>
        </w:rPr>
        <w:t xml:space="preserve"> this term refers to the distance a person generally covers in a half-day’s walk,</w:t>
      </w:r>
      <w:r w:rsidRPr="00FC7BF8">
        <w:rPr>
          <w:rStyle w:val="FootnoteReference"/>
          <w:rFonts w:ascii="Arial" w:hAnsi="Arial" w:cs="Arial"/>
          <w:sz w:val="24"/>
          <w:szCs w:val="24"/>
        </w:rPr>
        <w:footnoteReference w:id="8"/>
      </w:r>
      <w:r w:rsidRPr="00FC7BF8">
        <w:rPr>
          <w:rFonts w:ascii="Arial" w:hAnsi="Arial"/>
          <w:sz w:val="24"/>
          <w:szCs w:val="24"/>
        </w:rPr>
        <w:t xml:space="preserve"> and Ulla calculated that this distance is 15 miles. However, it becomes clear by the end of the Gemara’s discussion, in light of the commentar</w:t>
      </w:r>
      <w:r>
        <w:rPr>
          <w:rFonts w:ascii="Arial" w:hAnsi="Arial"/>
          <w:sz w:val="24"/>
          <w:szCs w:val="24"/>
        </w:rPr>
        <w:t>ies</w:t>
      </w:r>
      <w:r w:rsidRPr="00FC7BF8">
        <w:rPr>
          <w:rFonts w:ascii="Arial" w:hAnsi="Arial"/>
          <w:sz w:val="24"/>
          <w:szCs w:val="24"/>
        </w:rPr>
        <w:t xml:space="preserve"> of the</w:t>
      </w:r>
      <w:r>
        <w:rPr>
          <w:rFonts w:ascii="Arial" w:hAnsi="Arial"/>
          <w:sz w:val="24"/>
          <w:szCs w:val="24"/>
        </w:rPr>
        <w:t xml:space="preserve"> main</w:t>
      </w:r>
      <w:r w:rsidRPr="00FC7BF8">
        <w:rPr>
          <w:rFonts w:ascii="Arial" w:hAnsi="Arial"/>
          <w:sz w:val="24"/>
          <w:szCs w:val="24"/>
        </w:rPr>
        <w:t xml:space="preserve"> </w:t>
      </w:r>
      <w:r w:rsidRPr="00FC7BF8">
        <w:rPr>
          <w:rFonts w:ascii="Arial" w:hAnsi="Arial"/>
          <w:i/>
          <w:iCs/>
          <w:sz w:val="24"/>
          <w:szCs w:val="24"/>
        </w:rPr>
        <w:t>Rishonim</w:t>
      </w:r>
      <w:r w:rsidRPr="00FC7BF8">
        <w:rPr>
          <w:rFonts w:ascii="Arial" w:hAnsi="Arial"/>
          <w:sz w:val="24"/>
          <w:szCs w:val="24"/>
        </w:rPr>
        <w:t>, that the accepted interpretation of a half-day’s walk is 20 miles – not 15 miles as Ulla claimed.</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The Rambam adds a fascinating variable to the discussion. He writes:</w:t>
      </w:r>
    </w:p>
    <w:p w:rsidR="008C2418" w:rsidRPr="00FC7BF8" w:rsidRDefault="008C2418" w:rsidP="00906BAF">
      <w:pPr>
        <w:spacing w:after="0" w:line="240" w:lineRule="auto"/>
        <w:ind w:left="810"/>
        <w:jc w:val="both"/>
        <w:rPr>
          <w:rFonts w:ascii="Arial" w:hAnsi="Arial"/>
          <w:sz w:val="24"/>
          <w:szCs w:val="24"/>
        </w:rPr>
      </w:pPr>
    </w:p>
    <w:p w:rsidR="008C2418" w:rsidRPr="00FC7BF8" w:rsidRDefault="008C2418" w:rsidP="00906BAF">
      <w:pPr>
        <w:spacing w:after="0" w:line="240" w:lineRule="auto"/>
        <w:ind w:left="810"/>
        <w:jc w:val="both"/>
        <w:rPr>
          <w:rFonts w:ascii="Arial" w:hAnsi="Arial"/>
          <w:sz w:val="24"/>
          <w:szCs w:val="24"/>
        </w:rPr>
      </w:pPr>
      <w:r w:rsidRPr="00FC7BF8">
        <w:rPr>
          <w:rFonts w:ascii="Arial" w:hAnsi="Arial"/>
          <w:sz w:val="24"/>
          <w:szCs w:val="24"/>
        </w:rPr>
        <w:t>One who was, on the 14</w:t>
      </w:r>
      <w:r w:rsidRPr="00FC7BF8">
        <w:rPr>
          <w:rFonts w:ascii="Arial" w:hAnsi="Arial"/>
          <w:sz w:val="24"/>
          <w:szCs w:val="24"/>
          <w:vertAlign w:val="superscript"/>
        </w:rPr>
        <w:t>th</w:t>
      </w:r>
      <w:r w:rsidRPr="00FC7BF8">
        <w:rPr>
          <w:rFonts w:ascii="Arial" w:hAnsi="Arial"/>
          <w:sz w:val="24"/>
          <w:szCs w:val="24"/>
        </w:rPr>
        <w:t xml:space="preserve"> [of Nisan] at sunrise, at a distance of 15 miles or more from Jerusalem, this is considered a far-off journey. One who was at a shorter distance than that is not on a far-off journey, because he can reach Jerusalem after midday </w:t>
      </w:r>
      <w:r w:rsidRPr="00FC7BF8">
        <w:rPr>
          <w:rFonts w:ascii="Arial" w:hAnsi="Arial"/>
          <w:b/>
          <w:bCs/>
          <w:sz w:val="24"/>
          <w:szCs w:val="24"/>
        </w:rPr>
        <w:t>if he walks at a leisurely pace</w:t>
      </w:r>
      <w:r w:rsidRPr="00FC7BF8">
        <w:rPr>
          <w:rFonts w:ascii="Arial" w:hAnsi="Arial"/>
          <w:sz w:val="24"/>
          <w:szCs w:val="24"/>
        </w:rPr>
        <w:t>. (</w:t>
      </w:r>
      <w:r w:rsidRPr="00FC7BF8">
        <w:rPr>
          <w:rFonts w:ascii="Arial" w:hAnsi="Arial"/>
          <w:i/>
          <w:iCs/>
          <w:sz w:val="24"/>
          <w:szCs w:val="24"/>
        </w:rPr>
        <w:t>Hilkhot Korban Pesach</w:t>
      </w:r>
      <w:r w:rsidRPr="00FC7BF8">
        <w:rPr>
          <w:rFonts w:ascii="Arial" w:hAnsi="Arial"/>
          <w:sz w:val="24"/>
          <w:szCs w:val="24"/>
        </w:rPr>
        <w:t xml:space="preserve"> 5:9)</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 xml:space="preserve">The commentators on the Rambam did not seem to notice anything out of the ordinary in the language of this ruling. But something is indeed out of the ordinary here. In general, measurements of this nature that are based on a person’s physical ability are defined using an average person as a point of reference. Accordingly, we would have expected that the pace used to determine the distance of a half-day’s walk would be a </w:t>
      </w:r>
      <w:r w:rsidRPr="00FC7BF8">
        <w:rPr>
          <w:rFonts w:ascii="Arial" w:hAnsi="Arial"/>
          <w:b/>
          <w:bCs/>
          <w:sz w:val="24"/>
          <w:szCs w:val="24"/>
        </w:rPr>
        <w:t>normal walking pace</w:t>
      </w:r>
      <w:r w:rsidRPr="00FC7BF8">
        <w:rPr>
          <w:rFonts w:ascii="Arial" w:hAnsi="Arial"/>
          <w:sz w:val="24"/>
          <w:szCs w:val="24"/>
        </w:rPr>
        <w:t>, not a “leisurely pace,” as the Rambam states.</w:t>
      </w:r>
    </w:p>
    <w:p w:rsidR="008C2418" w:rsidRPr="00FC7BF8" w:rsidRDefault="008C2418" w:rsidP="00906BAF">
      <w:pPr>
        <w:spacing w:after="0" w:line="240" w:lineRule="auto"/>
        <w:jc w:val="both"/>
        <w:rPr>
          <w:rFonts w:ascii="Arial" w:hAnsi="Arial"/>
          <w:sz w:val="24"/>
          <w:szCs w:val="24"/>
        </w:rPr>
      </w:pPr>
    </w:p>
    <w:p w:rsidR="008C2418" w:rsidRPr="00FC7BF8" w:rsidRDefault="008C2418" w:rsidP="00906BAF">
      <w:pPr>
        <w:spacing w:after="0" w:line="240" w:lineRule="auto"/>
        <w:jc w:val="both"/>
        <w:rPr>
          <w:rFonts w:ascii="Arial" w:hAnsi="Arial"/>
          <w:sz w:val="24"/>
          <w:szCs w:val="24"/>
        </w:rPr>
      </w:pPr>
      <w:r w:rsidRPr="00FC7BF8">
        <w:rPr>
          <w:rFonts w:ascii="Arial" w:hAnsi="Arial"/>
          <w:sz w:val="24"/>
          <w:szCs w:val="24"/>
        </w:rPr>
        <w:tab/>
        <w:t>It seems to me that the Rambam intentionally used this language in order to resolve the discrepancy between the accepted position in the Gemara – that a half-day’s walk is 20 miles</w:t>
      </w:r>
      <w:r>
        <w:rPr>
          <w:rStyle w:val="FootnoteReference"/>
          <w:rFonts w:ascii="Arial" w:hAnsi="Arial" w:cs="Arial"/>
          <w:sz w:val="24"/>
          <w:szCs w:val="24"/>
        </w:rPr>
        <w:footnoteReference w:id="9"/>
      </w:r>
      <w:r w:rsidRPr="00FC7BF8">
        <w:rPr>
          <w:rFonts w:ascii="Arial" w:hAnsi="Arial"/>
          <w:sz w:val="24"/>
          <w:szCs w:val="24"/>
        </w:rPr>
        <w:t xml:space="preserve"> – and Ulla’s position – that it is only 15 miles. Perhaps the Rambam was reluctant to reject Ulla’s position outright because Ulla </w:t>
      </w:r>
      <w:r w:rsidRPr="00FC7BF8">
        <w:rPr>
          <w:rFonts w:ascii="Arial" w:hAnsi="Arial"/>
          <w:sz w:val="24"/>
          <w:szCs w:val="24"/>
        </w:rPr>
        <w:lastRenderedPageBreak/>
        <w:t>actually lived in the Land of Israel, making his position a kind of eyewitness account.</w:t>
      </w:r>
      <w:r w:rsidRPr="00FC7BF8">
        <w:rPr>
          <w:rStyle w:val="FootnoteReference"/>
          <w:rFonts w:ascii="Arial" w:hAnsi="Arial" w:cs="Arial"/>
          <w:sz w:val="24"/>
          <w:szCs w:val="24"/>
        </w:rPr>
        <w:footnoteReference w:id="10"/>
      </w:r>
      <w:r w:rsidRPr="00FC7BF8">
        <w:rPr>
          <w:rFonts w:ascii="Arial" w:hAnsi="Arial"/>
          <w:sz w:val="24"/>
          <w:szCs w:val="24"/>
        </w:rPr>
        <w:t xml:space="preserve"> Because of this, the Rambam proposed a novel explanation: In the case of the “far-off journey,” we measure distance based on a leisurely pace rather than a normal walking pace.</w:t>
      </w:r>
      <w:r w:rsidRPr="00FC7BF8">
        <w:rPr>
          <w:rStyle w:val="FootnoteReference"/>
          <w:rFonts w:ascii="Arial" w:hAnsi="Arial" w:cs="Arial"/>
          <w:sz w:val="24"/>
          <w:szCs w:val="24"/>
        </w:rPr>
        <w:footnoteReference w:id="11"/>
      </w:r>
      <w:r w:rsidRPr="00FC7BF8">
        <w:rPr>
          <w:rFonts w:ascii="Arial" w:hAnsi="Arial"/>
          <w:sz w:val="24"/>
          <w:szCs w:val="24"/>
        </w:rPr>
        <w:t xml:space="preserve"> In the Rambam’s reckoning, then, a 15-mile walk at a leisurely pace takes the same amount of time as a 20-mile walk at a normal pace – half a day.</w:t>
      </w:r>
    </w:p>
    <w:p w:rsidR="008C2418" w:rsidRPr="00FC7BF8" w:rsidRDefault="008C2418" w:rsidP="00906BAF">
      <w:pPr>
        <w:spacing w:after="0" w:line="240" w:lineRule="auto"/>
        <w:jc w:val="both"/>
        <w:rPr>
          <w:rFonts w:ascii="Arial" w:hAnsi="Arial"/>
          <w:sz w:val="24"/>
          <w:szCs w:val="24"/>
        </w:rPr>
      </w:pPr>
    </w:p>
    <w:p w:rsidR="008C2418" w:rsidRDefault="008C2418" w:rsidP="00906BAF">
      <w:pPr>
        <w:spacing w:after="0" w:line="240" w:lineRule="auto"/>
        <w:jc w:val="both"/>
        <w:rPr>
          <w:rFonts w:ascii="Arial" w:hAnsi="Arial"/>
          <w:sz w:val="24"/>
          <w:szCs w:val="24"/>
        </w:rPr>
      </w:pPr>
      <w:r w:rsidRPr="00FC7BF8">
        <w:rPr>
          <w:rFonts w:ascii="Arial" w:hAnsi="Arial"/>
          <w:sz w:val="24"/>
          <w:szCs w:val="24"/>
        </w:rPr>
        <w:tab/>
        <w:t>Now that it has become clear to us that “Modi’im” is located more than 15 miles away from Jerusalem, perhaps we can beg the Rambam’s forgiveness and</w:t>
      </w:r>
      <w:r>
        <w:rPr>
          <w:rFonts w:ascii="Arial" w:hAnsi="Arial"/>
          <w:sz w:val="24"/>
          <w:szCs w:val="24"/>
        </w:rPr>
        <w:t xml:space="preserve"> admit that Ulla’s position was most likely based on interpretive speculation rather than his personal experience.</w:t>
      </w:r>
      <w:r>
        <w:rPr>
          <w:rStyle w:val="FootnoteReference"/>
          <w:rFonts w:ascii="Arial" w:hAnsi="Arial" w:cs="Arial"/>
          <w:sz w:val="24"/>
          <w:szCs w:val="24"/>
        </w:rPr>
        <w:footnoteReference w:id="12"/>
      </w:r>
      <w:r>
        <w:rPr>
          <w:rFonts w:ascii="Arial" w:hAnsi="Arial"/>
          <w:sz w:val="24"/>
          <w:szCs w:val="24"/>
        </w:rPr>
        <w:t xml:space="preserve"> In light of this, we can accept that the </w:t>
      </w:r>
      <w:r w:rsidRPr="00D55E20">
        <w:rPr>
          <w:rFonts w:ascii="Arial" w:hAnsi="Arial"/>
          <w:sz w:val="24"/>
          <w:szCs w:val="24"/>
        </w:rPr>
        <w:t>Gemara’s</w:t>
      </w:r>
      <w:r>
        <w:rPr>
          <w:rFonts w:ascii="Arial" w:hAnsi="Arial"/>
          <w:sz w:val="24"/>
          <w:szCs w:val="24"/>
        </w:rPr>
        <w:t xml:space="preserve"> conclusion – </w:t>
      </w:r>
      <w:r w:rsidRPr="00E95CD7">
        <w:rPr>
          <w:rFonts w:ascii="Arial" w:hAnsi="Arial"/>
          <w:i/>
          <w:iCs/>
          <w:sz w:val="24"/>
          <w:szCs w:val="24"/>
        </w:rPr>
        <w:t>t</w:t>
      </w:r>
      <w:r>
        <w:rPr>
          <w:rFonts w:ascii="Arial" w:hAnsi="Arial"/>
          <w:i/>
          <w:iCs/>
          <w:sz w:val="24"/>
          <w:szCs w:val="24"/>
        </w:rPr>
        <w:t>e</w:t>
      </w:r>
      <w:r w:rsidRPr="00E95CD7">
        <w:rPr>
          <w:rFonts w:ascii="Arial" w:hAnsi="Arial"/>
          <w:i/>
          <w:iCs/>
          <w:sz w:val="24"/>
          <w:szCs w:val="24"/>
        </w:rPr>
        <w:t>yuvta de-Ulla t</w:t>
      </w:r>
      <w:r>
        <w:rPr>
          <w:rFonts w:ascii="Arial" w:hAnsi="Arial"/>
          <w:i/>
          <w:iCs/>
          <w:sz w:val="24"/>
          <w:szCs w:val="24"/>
        </w:rPr>
        <w:t>e</w:t>
      </w:r>
      <w:r w:rsidRPr="00E95CD7">
        <w:rPr>
          <w:rFonts w:ascii="Arial" w:hAnsi="Arial"/>
          <w:i/>
          <w:iCs/>
          <w:sz w:val="24"/>
          <w:szCs w:val="24"/>
        </w:rPr>
        <w:t>yuvta</w:t>
      </w:r>
      <w:r>
        <w:rPr>
          <w:rFonts w:ascii="Arial" w:hAnsi="Arial"/>
          <w:sz w:val="24"/>
          <w:szCs w:val="24"/>
        </w:rPr>
        <w:t xml:space="preserve"> –</w:t>
      </w:r>
      <w:r w:rsidR="005B6081">
        <w:rPr>
          <w:rFonts w:ascii="Arial" w:hAnsi="Arial"/>
          <w:sz w:val="24"/>
          <w:szCs w:val="24"/>
        </w:rPr>
        <w:t xml:space="preserve"> </w:t>
      </w:r>
      <w:r>
        <w:rPr>
          <w:rFonts w:ascii="Arial" w:hAnsi="Arial"/>
          <w:sz w:val="24"/>
          <w:szCs w:val="24"/>
        </w:rPr>
        <w:t>actually means that “a far-off journey” is 20 miles and not 15 miles.</w:t>
      </w:r>
    </w:p>
    <w:p w:rsidR="008C2418" w:rsidRDefault="008C2418" w:rsidP="00906BAF">
      <w:pPr>
        <w:spacing w:after="0" w:line="240" w:lineRule="auto"/>
        <w:jc w:val="both"/>
        <w:rPr>
          <w:rFonts w:ascii="Arial" w:hAnsi="Arial"/>
          <w:sz w:val="24"/>
          <w:szCs w:val="24"/>
        </w:rPr>
      </w:pPr>
    </w:p>
    <w:p w:rsidR="008C2418" w:rsidRDefault="008C2418" w:rsidP="005B6081">
      <w:pPr>
        <w:spacing w:after="0" w:line="240" w:lineRule="auto"/>
        <w:jc w:val="both"/>
        <w:rPr>
          <w:rFonts w:ascii="Arial" w:hAnsi="Arial"/>
          <w:sz w:val="24"/>
          <w:szCs w:val="24"/>
        </w:rPr>
      </w:pPr>
      <w:r>
        <w:rPr>
          <w:rFonts w:ascii="Arial" w:hAnsi="Arial"/>
          <w:sz w:val="24"/>
          <w:szCs w:val="24"/>
        </w:rPr>
        <w:tab/>
        <w:t>Before we actually measure the distance between Jerusalem and Mo</w:t>
      </w:r>
      <w:r w:rsidR="003E3FC5">
        <w:rPr>
          <w:rFonts w:ascii="Arial" w:hAnsi="Arial"/>
          <w:sz w:val="24"/>
          <w:szCs w:val="24"/>
        </w:rPr>
        <w:t>diin</w:t>
      </w:r>
      <w:r>
        <w:rPr>
          <w:rFonts w:ascii="Arial" w:hAnsi="Arial"/>
          <w:sz w:val="24"/>
          <w:szCs w:val="24"/>
        </w:rPr>
        <w:t xml:space="preserve">, I would like to note that, in contrast to the commonly-held view of the </w:t>
      </w:r>
      <w:r>
        <w:rPr>
          <w:rFonts w:ascii="Arial" w:hAnsi="Arial"/>
          <w:i/>
          <w:iCs/>
          <w:sz w:val="24"/>
          <w:szCs w:val="24"/>
        </w:rPr>
        <w:t>Rishonim</w:t>
      </w:r>
      <w:r>
        <w:rPr>
          <w:rFonts w:ascii="Arial" w:hAnsi="Arial"/>
          <w:sz w:val="24"/>
          <w:szCs w:val="24"/>
        </w:rPr>
        <w:t xml:space="preserve">, </w:t>
      </w:r>
      <w:r>
        <w:rPr>
          <w:rFonts w:ascii="Arial" w:hAnsi="Arial"/>
          <w:i/>
          <w:iCs/>
          <w:sz w:val="24"/>
          <w:szCs w:val="24"/>
        </w:rPr>
        <w:t>Acharonim</w:t>
      </w:r>
      <w:r>
        <w:rPr>
          <w:rFonts w:ascii="Arial" w:hAnsi="Arial"/>
          <w:sz w:val="24"/>
          <w:szCs w:val="24"/>
        </w:rPr>
        <w:t xml:space="preserve"> and even many contemporary Talmud scholars, I believe that when </w:t>
      </w:r>
      <w:r>
        <w:rPr>
          <w:rFonts w:ascii="Arial" w:hAnsi="Arial"/>
          <w:i/>
          <w:iCs/>
          <w:sz w:val="24"/>
          <w:szCs w:val="24"/>
        </w:rPr>
        <w:t>Chazal</w:t>
      </w:r>
      <w:r>
        <w:rPr>
          <w:rFonts w:ascii="Arial" w:hAnsi="Arial"/>
          <w:sz w:val="24"/>
          <w:szCs w:val="24"/>
        </w:rPr>
        <w:t xml:space="preserve"> use the term </w:t>
      </w:r>
      <w:r>
        <w:rPr>
          <w:rFonts w:ascii="Arial" w:hAnsi="Arial"/>
          <w:i/>
          <w:iCs/>
          <w:sz w:val="24"/>
          <w:szCs w:val="24"/>
        </w:rPr>
        <w:t>mil</w:t>
      </w:r>
      <w:r>
        <w:rPr>
          <w:rFonts w:ascii="Arial" w:hAnsi="Arial"/>
          <w:sz w:val="24"/>
          <w:szCs w:val="24"/>
        </w:rPr>
        <w:t xml:space="preserve">, they were referring to the Roman mile, not their own independent measure of distance. This is a complicated issue that requires its own comprehensive discussion, far beyond the scope of this </w:t>
      </w:r>
      <w:r w:rsidR="005B6081">
        <w:rPr>
          <w:rFonts w:ascii="Arial" w:hAnsi="Arial"/>
          <w:sz w:val="24"/>
          <w:szCs w:val="24"/>
        </w:rPr>
        <w:t>essay</w:t>
      </w:r>
      <w:r>
        <w:rPr>
          <w:rFonts w:ascii="Arial" w:hAnsi="Arial"/>
          <w:sz w:val="24"/>
          <w:szCs w:val="24"/>
        </w:rPr>
        <w:t xml:space="preserve">. In this forum, I will suffice in saying that the word </w:t>
      </w:r>
      <w:r>
        <w:rPr>
          <w:rFonts w:ascii="Arial" w:hAnsi="Arial"/>
          <w:i/>
          <w:iCs/>
          <w:sz w:val="24"/>
          <w:szCs w:val="24"/>
        </w:rPr>
        <w:t>mil</w:t>
      </w:r>
      <w:r>
        <w:rPr>
          <w:rFonts w:ascii="Arial" w:hAnsi="Arial"/>
          <w:sz w:val="24"/>
          <w:szCs w:val="24"/>
        </w:rPr>
        <w:t xml:space="preserve"> is, in essence, a Roman noun (the Latin phrase </w:t>
      </w:r>
      <w:r>
        <w:rPr>
          <w:rFonts w:ascii="Arial" w:hAnsi="Arial"/>
          <w:i/>
          <w:iCs/>
          <w:sz w:val="24"/>
          <w:szCs w:val="24"/>
        </w:rPr>
        <w:t xml:space="preserve">mille passuum </w:t>
      </w:r>
      <w:r>
        <w:rPr>
          <w:rFonts w:ascii="Arial" w:hAnsi="Arial"/>
          <w:sz w:val="24"/>
          <w:szCs w:val="24"/>
        </w:rPr>
        <w:t xml:space="preserve">means “a thousand double paces”), and the Romans who then ruled the land erected milestones all along the major roads. It is reasonable to assume, then, that the Roman mile was the same mile that </w:t>
      </w:r>
      <w:r>
        <w:rPr>
          <w:rFonts w:ascii="Arial" w:hAnsi="Arial"/>
          <w:i/>
          <w:iCs/>
          <w:sz w:val="24"/>
          <w:szCs w:val="24"/>
        </w:rPr>
        <w:t xml:space="preserve">Chazal </w:t>
      </w:r>
      <w:r>
        <w:rPr>
          <w:rFonts w:ascii="Arial" w:hAnsi="Arial"/>
          <w:sz w:val="24"/>
          <w:szCs w:val="24"/>
        </w:rPr>
        <w:t>used.</w:t>
      </w:r>
    </w:p>
    <w:p w:rsidR="008C2418" w:rsidRDefault="008C2418" w:rsidP="00906BAF">
      <w:pPr>
        <w:spacing w:after="0" w:line="240" w:lineRule="auto"/>
        <w:jc w:val="both"/>
        <w:rPr>
          <w:rFonts w:ascii="Arial" w:hAnsi="Arial"/>
          <w:sz w:val="24"/>
          <w:szCs w:val="24"/>
        </w:rPr>
      </w:pPr>
    </w:p>
    <w:p w:rsidR="008C2418" w:rsidRDefault="008C2418" w:rsidP="00906BAF">
      <w:pPr>
        <w:spacing w:after="0" w:line="240" w:lineRule="auto"/>
        <w:jc w:val="both"/>
        <w:rPr>
          <w:rFonts w:ascii="Arial" w:hAnsi="Arial"/>
          <w:sz w:val="24"/>
          <w:szCs w:val="24"/>
        </w:rPr>
      </w:pPr>
      <w:r>
        <w:rPr>
          <w:rFonts w:ascii="Arial" w:hAnsi="Arial"/>
          <w:sz w:val="24"/>
          <w:szCs w:val="24"/>
        </w:rPr>
        <w:tab/>
        <w:t xml:space="preserve">If we accept that the </w:t>
      </w:r>
      <w:r>
        <w:rPr>
          <w:rFonts w:ascii="Arial" w:hAnsi="Arial"/>
          <w:i/>
          <w:iCs/>
          <w:sz w:val="24"/>
          <w:szCs w:val="24"/>
        </w:rPr>
        <w:t>mil</w:t>
      </w:r>
      <w:r>
        <w:rPr>
          <w:rFonts w:ascii="Arial" w:hAnsi="Arial"/>
          <w:sz w:val="24"/>
          <w:szCs w:val="24"/>
        </w:rPr>
        <w:t xml:space="preserve"> found in the Talmud is the Roman mile, which is approximately 4,800 feet, 20 Roman miles comes out to about 18 English miles. This is the precise distance between Jerusalem and modern-day Mo</w:t>
      </w:r>
      <w:r w:rsidR="003E3FC5">
        <w:rPr>
          <w:rFonts w:ascii="Arial" w:hAnsi="Arial"/>
          <w:sz w:val="24"/>
          <w:szCs w:val="24"/>
        </w:rPr>
        <w:t>diin</w:t>
      </w:r>
      <w:r>
        <w:rPr>
          <w:rFonts w:ascii="Arial" w:hAnsi="Arial"/>
          <w:sz w:val="24"/>
          <w:szCs w:val="24"/>
        </w:rPr>
        <w:t>. I believe this is the best solution to the contradiction between the two groups of sources that we outlined above.</w:t>
      </w:r>
      <w:r>
        <w:rPr>
          <w:rStyle w:val="FootnoteReference"/>
          <w:rFonts w:ascii="Arial" w:hAnsi="Arial" w:cs="Arial"/>
          <w:sz w:val="24"/>
          <w:szCs w:val="24"/>
        </w:rPr>
        <w:footnoteReference w:id="13"/>
      </w:r>
    </w:p>
    <w:p w:rsidR="008C2418" w:rsidRDefault="008C2418" w:rsidP="00906BAF">
      <w:pPr>
        <w:spacing w:after="0" w:line="240" w:lineRule="auto"/>
        <w:jc w:val="both"/>
        <w:rPr>
          <w:rFonts w:ascii="Arial" w:hAnsi="Arial"/>
          <w:sz w:val="24"/>
          <w:szCs w:val="24"/>
        </w:rPr>
      </w:pPr>
    </w:p>
    <w:p w:rsidR="008C2418" w:rsidRDefault="0077683B" w:rsidP="00906BAF">
      <w:pPr>
        <w:keepNext/>
        <w:spacing w:after="0" w:line="240" w:lineRule="auto"/>
        <w:jc w:val="center"/>
      </w:pPr>
      <w:r>
        <w:rPr>
          <w:rFonts w:ascii="Arial" w:hAnsi="Arial"/>
          <w:noProof/>
          <w:sz w:val="24"/>
          <w:szCs w:val="24"/>
        </w:rPr>
        <w:lastRenderedPageBreak/>
        <w:drawing>
          <wp:inline distT="0" distB="0" distL="0" distR="0">
            <wp:extent cx="4933950" cy="2914650"/>
            <wp:effectExtent l="0" t="0" r="0" b="0"/>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0">
                      <a:extLst>
                        <a:ext uri="{28A0092B-C50C-407E-A947-70E740481C1C}">
                          <a14:useLocalDpi xmlns:a14="http://schemas.microsoft.com/office/drawing/2010/main" val="0"/>
                        </a:ext>
                      </a:extLst>
                    </a:blip>
                    <a:srcRect l="4089" t="6871" r="2527" b="8353"/>
                    <a:stretch>
                      <a:fillRect/>
                    </a:stretch>
                  </pic:blipFill>
                  <pic:spPr bwMode="auto">
                    <a:xfrm>
                      <a:off x="0" y="0"/>
                      <a:ext cx="4933950" cy="2914650"/>
                    </a:xfrm>
                    <a:prstGeom prst="rect">
                      <a:avLst/>
                    </a:prstGeom>
                    <a:noFill/>
                    <a:ln>
                      <a:noFill/>
                    </a:ln>
                  </pic:spPr>
                </pic:pic>
              </a:graphicData>
            </a:graphic>
          </wp:inline>
        </w:drawing>
      </w:r>
    </w:p>
    <w:p w:rsidR="008C2418" w:rsidRPr="00E95CD7" w:rsidRDefault="008C2418" w:rsidP="00906BAF">
      <w:pPr>
        <w:pStyle w:val="Caption"/>
        <w:spacing w:after="0"/>
        <w:jc w:val="center"/>
        <w:rPr>
          <w:rFonts w:ascii="Arial" w:hAnsi="Arial"/>
          <w:sz w:val="20"/>
          <w:szCs w:val="20"/>
        </w:rPr>
      </w:pPr>
      <w:r>
        <w:rPr>
          <w:rFonts w:ascii="Arial" w:hAnsi="Arial"/>
          <w:b w:val="0"/>
          <w:bCs w:val="0"/>
          <w:color w:val="auto"/>
          <w:sz w:val="20"/>
          <w:szCs w:val="20"/>
        </w:rPr>
        <w:t xml:space="preserve">Detailed schematics of the tomb identified by </w:t>
      </w:r>
      <w:r w:rsidRPr="00E95CD7">
        <w:rPr>
          <w:rFonts w:ascii="Arial" w:hAnsi="Arial"/>
          <w:b w:val="0"/>
          <w:bCs w:val="0"/>
          <w:color w:val="000000"/>
          <w:sz w:val="20"/>
          <w:szCs w:val="20"/>
          <w:shd w:val="clear" w:color="auto" w:fill="FFFFFF"/>
        </w:rPr>
        <w:t>Guérin</w:t>
      </w:r>
      <w:r>
        <w:rPr>
          <w:rFonts w:ascii="Arial" w:hAnsi="Arial"/>
          <w:b w:val="0"/>
          <w:bCs w:val="0"/>
          <w:color w:val="000000"/>
          <w:sz w:val="20"/>
          <w:szCs w:val="20"/>
          <w:shd w:val="clear" w:color="auto" w:fill="FFFFFF"/>
        </w:rPr>
        <w:t xml:space="preserve"> as the tomb of the Maccabees </w:t>
      </w:r>
      <w:r>
        <w:rPr>
          <w:rFonts w:ascii="Arial" w:hAnsi="Arial"/>
          <w:b w:val="0"/>
          <w:bCs w:val="0"/>
          <w:color w:val="auto"/>
          <w:sz w:val="20"/>
          <w:szCs w:val="20"/>
        </w:rPr>
        <w:t>in his expedition to the Holy Land in 1870. This tomb is located in Khirbet al-Midya, which is distinct from the village of al-Midya on the eastern bank of Wadi al-Midya. (Yad Ben Zvi)</w:t>
      </w:r>
    </w:p>
    <w:p w:rsidR="008C2418" w:rsidRDefault="008C2418" w:rsidP="00906BAF">
      <w:pPr>
        <w:spacing w:after="0" w:line="240" w:lineRule="auto"/>
        <w:jc w:val="both"/>
        <w:rPr>
          <w:rFonts w:ascii="Arial" w:hAnsi="Arial"/>
          <w:sz w:val="24"/>
          <w:szCs w:val="24"/>
        </w:rPr>
      </w:pPr>
    </w:p>
    <w:p w:rsidR="008C2418" w:rsidRDefault="008C2418" w:rsidP="00906BAF">
      <w:pPr>
        <w:spacing w:after="0" w:line="240" w:lineRule="auto"/>
        <w:jc w:val="both"/>
        <w:rPr>
          <w:rFonts w:ascii="Arial" w:hAnsi="Arial"/>
          <w:sz w:val="24"/>
          <w:szCs w:val="24"/>
        </w:rPr>
      </w:pPr>
      <w:r>
        <w:rPr>
          <w:rFonts w:ascii="Arial" w:hAnsi="Arial"/>
          <w:sz w:val="24"/>
          <w:szCs w:val="24"/>
        </w:rPr>
        <w:tab/>
        <w:t xml:space="preserve">As for the site known today as “the Tombs of the Maccabees,” although this place bore the Arabic name </w:t>
      </w:r>
      <w:r>
        <w:rPr>
          <w:rFonts w:ascii="Arial" w:hAnsi="Arial"/>
          <w:i/>
          <w:iCs/>
          <w:sz w:val="24"/>
          <w:szCs w:val="24"/>
        </w:rPr>
        <w:t xml:space="preserve">Qubur el-Yahud </w:t>
      </w:r>
      <w:r>
        <w:rPr>
          <w:rFonts w:ascii="Arial" w:hAnsi="Arial"/>
          <w:sz w:val="24"/>
          <w:szCs w:val="24"/>
        </w:rPr>
        <w:t>(Tombs of the Jews), the burial style indicates that these tombs postdate the Hasmonean period and are apparently non-Jewish. The actual tombs of the Maccabees described in the sources can likely be found in close proximity to these tombs, but their precise location is difficult to pinpoint with certainty. Several sites in the area were suggested as the tombs of the Maccabees during the last 150 years, and perhaps the truth of the matter will become clearer in the future. In any case, the important conclusion here is that the city of Mo</w:t>
      </w:r>
      <w:r w:rsidR="003E3FC5">
        <w:rPr>
          <w:rFonts w:ascii="Arial" w:hAnsi="Arial"/>
          <w:sz w:val="24"/>
          <w:szCs w:val="24"/>
        </w:rPr>
        <w:t>diin</w:t>
      </w:r>
      <w:r>
        <w:rPr>
          <w:rFonts w:ascii="Arial" w:hAnsi="Arial"/>
          <w:sz w:val="24"/>
          <w:szCs w:val="24"/>
        </w:rPr>
        <w:t xml:space="preserve"> and its surrounding towns – many of which bear the names of the heroes of ancient Mo</w:t>
      </w:r>
      <w:r w:rsidR="003E3FC5">
        <w:rPr>
          <w:rFonts w:ascii="Arial" w:hAnsi="Arial"/>
          <w:sz w:val="24"/>
          <w:szCs w:val="24"/>
        </w:rPr>
        <w:t>diin</w:t>
      </w:r>
      <w:r>
        <w:rPr>
          <w:rFonts w:ascii="Arial" w:hAnsi="Arial"/>
          <w:sz w:val="24"/>
          <w:szCs w:val="24"/>
        </w:rPr>
        <w:t>, e.g., Matityahu, Hashmonaim and Maccabim – seem to have been established in the right place after all.</w:t>
      </w:r>
    </w:p>
    <w:p w:rsidR="008C2418" w:rsidRDefault="008C2418" w:rsidP="00906BAF">
      <w:pPr>
        <w:spacing w:after="0" w:line="240" w:lineRule="auto"/>
        <w:jc w:val="both"/>
        <w:rPr>
          <w:rFonts w:ascii="Arial" w:hAnsi="Arial"/>
          <w:sz w:val="24"/>
          <w:szCs w:val="24"/>
        </w:rPr>
      </w:pPr>
    </w:p>
    <w:p w:rsidR="008C2418" w:rsidRDefault="0077683B" w:rsidP="00906BAF">
      <w:pPr>
        <w:keepNext/>
        <w:spacing w:after="0" w:line="240" w:lineRule="auto"/>
        <w:jc w:val="center"/>
      </w:pPr>
      <w:r>
        <w:rPr>
          <w:rFonts w:ascii="Arial" w:hAnsi="Arial"/>
          <w:noProof/>
          <w:sz w:val="24"/>
          <w:szCs w:val="24"/>
        </w:rPr>
        <w:lastRenderedPageBreak/>
        <w:drawing>
          <wp:inline distT="0" distB="0" distL="0" distR="0">
            <wp:extent cx="4845050" cy="3168650"/>
            <wp:effectExtent l="0" t="0" r="0" b="0"/>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b="1201"/>
                    <a:stretch>
                      <a:fillRect/>
                    </a:stretch>
                  </pic:blipFill>
                  <pic:spPr bwMode="auto">
                    <a:xfrm>
                      <a:off x="0" y="0"/>
                      <a:ext cx="4845050" cy="3168650"/>
                    </a:xfrm>
                    <a:prstGeom prst="rect">
                      <a:avLst/>
                    </a:prstGeom>
                    <a:noFill/>
                    <a:ln>
                      <a:noFill/>
                    </a:ln>
                  </pic:spPr>
                </pic:pic>
              </a:graphicData>
            </a:graphic>
          </wp:inline>
        </w:drawing>
      </w:r>
    </w:p>
    <w:p w:rsidR="008C2418" w:rsidRPr="00E95CD7" w:rsidRDefault="008C2418" w:rsidP="00906BAF">
      <w:pPr>
        <w:pStyle w:val="Caption"/>
        <w:spacing w:after="0"/>
        <w:jc w:val="center"/>
        <w:rPr>
          <w:rFonts w:ascii="Arial" w:hAnsi="Arial"/>
          <w:sz w:val="20"/>
          <w:szCs w:val="20"/>
        </w:rPr>
      </w:pPr>
      <w:r>
        <w:rPr>
          <w:rFonts w:ascii="Arial" w:hAnsi="Arial"/>
          <w:b w:val="0"/>
          <w:bCs w:val="0"/>
          <w:color w:val="auto"/>
          <w:sz w:val="20"/>
          <w:szCs w:val="20"/>
        </w:rPr>
        <w:t xml:space="preserve">“The Tomb of the Maccabees,” formerly </w:t>
      </w:r>
      <w:r>
        <w:rPr>
          <w:rFonts w:ascii="Arial" w:hAnsi="Arial"/>
          <w:b w:val="0"/>
          <w:bCs w:val="0"/>
          <w:i/>
          <w:iCs/>
          <w:color w:val="auto"/>
          <w:sz w:val="20"/>
          <w:szCs w:val="20"/>
        </w:rPr>
        <w:t>Qubur el-Yahud</w:t>
      </w:r>
      <w:r>
        <w:rPr>
          <w:rFonts w:ascii="Arial" w:hAnsi="Arial"/>
          <w:b w:val="0"/>
          <w:bCs w:val="0"/>
          <w:color w:val="auto"/>
          <w:sz w:val="20"/>
          <w:szCs w:val="20"/>
        </w:rPr>
        <w:t xml:space="preserve"> (Z. Radovan)</w:t>
      </w:r>
    </w:p>
    <w:p w:rsidR="008C2418" w:rsidRDefault="008C2418" w:rsidP="00906BAF">
      <w:pPr>
        <w:spacing w:after="0" w:line="240" w:lineRule="auto"/>
        <w:jc w:val="both"/>
        <w:rPr>
          <w:rFonts w:ascii="Arial" w:hAnsi="Arial"/>
          <w:sz w:val="24"/>
          <w:szCs w:val="24"/>
        </w:rPr>
      </w:pPr>
    </w:p>
    <w:p w:rsidR="008C2418" w:rsidRDefault="008C2418" w:rsidP="00906BAF">
      <w:pPr>
        <w:spacing w:after="0" w:line="240" w:lineRule="auto"/>
        <w:jc w:val="both"/>
        <w:rPr>
          <w:rFonts w:ascii="Arial" w:hAnsi="Arial"/>
          <w:b/>
          <w:bCs/>
          <w:sz w:val="24"/>
          <w:szCs w:val="24"/>
        </w:rPr>
      </w:pPr>
      <w:r>
        <w:rPr>
          <w:rFonts w:ascii="Arial" w:hAnsi="Arial"/>
          <w:b/>
          <w:bCs/>
          <w:sz w:val="24"/>
          <w:szCs w:val="24"/>
        </w:rPr>
        <w:t>For further study:</w:t>
      </w:r>
    </w:p>
    <w:p w:rsidR="008C2418" w:rsidRDefault="008C2418" w:rsidP="00906BAF">
      <w:pPr>
        <w:spacing w:after="0" w:line="240" w:lineRule="auto"/>
        <w:jc w:val="both"/>
        <w:rPr>
          <w:rFonts w:ascii="Arial" w:hAnsi="Arial"/>
          <w:b/>
          <w:bCs/>
          <w:sz w:val="24"/>
          <w:szCs w:val="24"/>
        </w:rPr>
      </w:pPr>
    </w:p>
    <w:p w:rsidR="008C2418" w:rsidRDefault="008C2418" w:rsidP="00906BAF">
      <w:pPr>
        <w:spacing w:after="0" w:line="240" w:lineRule="auto"/>
        <w:ind w:left="720" w:hanging="720"/>
        <w:jc w:val="both"/>
        <w:rPr>
          <w:rFonts w:ascii="Arial" w:hAnsi="Arial"/>
          <w:b/>
          <w:bCs/>
          <w:sz w:val="24"/>
          <w:szCs w:val="24"/>
        </w:rPr>
      </w:pPr>
      <w:r>
        <w:rPr>
          <w:rFonts w:ascii="Arial" w:hAnsi="Arial"/>
          <w:sz w:val="24"/>
          <w:szCs w:val="24"/>
        </w:rPr>
        <w:t xml:space="preserve">J. J. Ajdler, “Talmudic Metrology: The Mile as a Unit of Length,” </w:t>
      </w:r>
      <w:r>
        <w:rPr>
          <w:rFonts w:ascii="Arial" w:hAnsi="Arial"/>
          <w:i/>
          <w:iCs/>
          <w:sz w:val="24"/>
          <w:szCs w:val="24"/>
        </w:rPr>
        <w:t>BDD</w:t>
      </w:r>
      <w:r>
        <w:rPr>
          <w:rFonts w:ascii="Arial" w:hAnsi="Arial"/>
          <w:sz w:val="24"/>
          <w:szCs w:val="24"/>
        </w:rPr>
        <w:t xml:space="preserve"> 19 (2008), 57-60.</w:t>
      </w:r>
      <w:r>
        <w:rPr>
          <w:rFonts w:ascii="Arial" w:hAnsi="Arial"/>
          <w:b/>
          <w:bCs/>
          <w:sz w:val="24"/>
          <w:szCs w:val="24"/>
        </w:rPr>
        <w:t xml:space="preserve"> </w:t>
      </w:r>
    </w:p>
    <w:p w:rsidR="008C2418" w:rsidRDefault="008C2418" w:rsidP="00906BAF">
      <w:pPr>
        <w:spacing w:after="0" w:line="240" w:lineRule="auto"/>
        <w:ind w:left="720" w:hanging="720"/>
        <w:jc w:val="both"/>
        <w:rPr>
          <w:rFonts w:ascii="Arial" w:hAnsi="Arial"/>
          <w:sz w:val="24"/>
          <w:szCs w:val="24"/>
        </w:rPr>
      </w:pPr>
    </w:p>
    <w:p w:rsidR="008C2418" w:rsidRPr="00E3198D" w:rsidRDefault="008C2418" w:rsidP="00906BAF">
      <w:pPr>
        <w:spacing w:after="0" w:line="240" w:lineRule="auto"/>
        <w:ind w:left="720" w:hanging="720"/>
        <w:jc w:val="both"/>
        <w:rPr>
          <w:rFonts w:ascii="Arial" w:hAnsi="Arial"/>
          <w:sz w:val="24"/>
          <w:szCs w:val="24"/>
          <w:lang w:val="de-DE"/>
        </w:rPr>
      </w:pPr>
      <w:r w:rsidRPr="00E3198D">
        <w:rPr>
          <w:rFonts w:ascii="Arial" w:hAnsi="Arial"/>
          <w:sz w:val="24"/>
          <w:szCs w:val="24"/>
          <w:lang w:val="de-DE"/>
        </w:rPr>
        <w:t xml:space="preserve">Z. H. Ehrlich, </w:t>
      </w:r>
      <w:r w:rsidRPr="00E3198D">
        <w:rPr>
          <w:rFonts w:ascii="Arial" w:hAnsi="Arial"/>
          <w:i/>
          <w:iCs/>
          <w:sz w:val="24"/>
          <w:szCs w:val="24"/>
          <w:lang w:val="de-DE"/>
        </w:rPr>
        <w:t>Gevurat Beit Chashmona’i</w:t>
      </w:r>
      <w:r w:rsidRPr="00E3198D">
        <w:rPr>
          <w:rFonts w:ascii="Arial" w:hAnsi="Arial"/>
          <w:sz w:val="24"/>
          <w:szCs w:val="24"/>
          <w:lang w:val="de-DE"/>
        </w:rPr>
        <w:t>, Jerusalem 1986, 7-10 [Hebrew].</w:t>
      </w:r>
    </w:p>
    <w:p w:rsidR="008C2418" w:rsidRPr="00E3198D" w:rsidRDefault="008C2418" w:rsidP="00906BAF">
      <w:pPr>
        <w:spacing w:after="0" w:line="240" w:lineRule="auto"/>
        <w:ind w:left="720" w:hanging="720"/>
        <w:jc w:val="both"/>
        <w:rPr>
          <w:rFonts w:ascii="Arial" w:hAnsi="Arial"/>
          <w:b/>
          <w:bCs/>
          <w:sz w:val="24"/>
          <w:szCs w:val="24"/>
          <w:lang w:val="de-DE"/>
        </w:rPr>
      </w:pPr>
    </w:p>
    <w:p w:rsidR="008C2418" w:rsidRPr="00215ADA" w:rsidRDefault="008C2418" w:rsidP="00906BAF">
      <w:pPr>
        <w:spacing w:after="0" w:line="240" w:lineRule="auto"/>
        <w:jc w:val="both"/>
        <w:rPr>
          <w:rFonts w:ascii="Arial" w:hAnsi="Arial"/>
          <w:sz w:val="24"/>
          <w:szCs w:val="24"/>
        </w:rPr>
      </w:pPr>
      <w:r>
        <w:rPr>
          <w:rFonts w:ascii="Arial" w:hAnsi="Arial"/>
          <w:sz w:val="24"/>
          <w:szCs w:val="24"/>
        </w:rPr>
        <w:t xml:space="preserve">Y. Goldhor, </w:t>
      </w:r>
      <w:r>
        <w:rPr>
          <w:rFonts w:ascii="Arial" w:hAnsi="Arial"/>
          <w:i/>
          <w:iCs/>
          <w:sz w:val="24"/>
          <w:szCs w:val="24"/>
        </w:rPr>
        <w:t>Admat Kodesh</w:t>
      </w:r>
      <w:r>
        <w:rPr>
          <w:rFonts w:ascii="Arial" w:hAnsi="Arial"/>
          <w:sz w:val="24"/>
          <w:szCs w:val="24"/>
        </w:rPr>
        <w:t>, Jerusalem 1913, 99a [Hebrew].</w:t>
      </w:r>
    </w:p>
    <w:p w:rsidR="008C2418" w:rsidRDefault="008C2418" w:rsidP="00906BAF">
      <w:pPr>
        <w:spacing w:after="0" w:line="240" w:lineRule="auto"/>
        <w:jc w:val="both"/>
        <w:rPr>
          <w:rFonts w:ascii="Arial" w:hAnsi="Arial"/>
          <w:b/>
          <w:bCs/>
          <w:sz w:val="24"/>
          <w:szCs w:val="24"/>
        </w:rPr>
      </w:pPr>
    </w:p>
    <w:p w:rsidR="008C2418" w:rsidRPr="00930905" w:rsidRDefault="008C2418" w:rsidP="00906BA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720" w:hanging="720"/>
        <w:jc w:val="both"/>
        <w:rPr>
          <w:rFonts w:ascii="Arial" w:hAnsi="Arial" w:cs="Arial"/>
          <w:color w:val="000000"/>
          <w:sz w:val="24"/>
          <w:szCs w:val="24"/>
        </w:rPr>
      </w:pPr>
      <w:r w:rsidRPr="00930905">
        <w:rPr>
          <w:rFonts w:ascii="Arial" w:hAnsi="Arial" w:cs="Arial"/>
          <w:sz w:val="24"/>
          <w:szCs w:val="24"/>
        </w:rPr>
        <w:t xml:space="preserve">V. </w:t>
      </w:r>
      <w:r w:rsidRPr="00930905">
        <w:rPr>
          <w:rFonts w:ascii="Arial" w:hAnsi="Arial" w:cs="Arial"/>
          <w:color w:val="252525"/>
          <w:sz w:val="24"/>
          <w:szCs w:val="24"/>
          <w:shd w:val="clear" w:color="auto" w:fill="FFFFFF"/>
        </w:rPr>
        <w:t xml:space="preserve">Guérin, </w:t>
      </w:r>
      <w:r w:rsidRPr="00E95CD7">
        <w:rPr>
          <w:rFonts w:ascii="Arial" w:hAnsi="Arial" w:cs="Arial"/>
          <w:i/>
          <w:iCs/>
          <w:color w:val="000000"/>
          <w:sz w:val="24"/>
          <w:szCs w:val="24"/>
        </w:rPr>
        <w:t>Description géographique, historique et archéologique de la Palestine:</w:t>
      </w:r>
      <w:r>
        <w:rPr>
          <w:rFonts w:ascii="Arial" w:hAnsi="Arial" w:cs="Arial"/>
          <w:i/>
          <w:iCs/>
          <w:color w:val="000000"/>
          <w:sz w:val="24"/>
          <w:szCs w:val="24"/>
        </w:rPr>
        <w:t xml:space="preserve"> Judée</w:t>
      </w:r>
      <w:r w:rsidRPr="00E95CD7">
        <w:rPr>
          <w:rFonts w:ascii="Arial" w:hAnsi="Arial" w:cs="Arial"/>
          <w:color w:val="000000"/>
          <w:sz w:val="24"/>
          <w:szCs w:val="24"/>
        </w:rPr>
        <w:t>, 1,</w:t>
      </w:r>
      <w:r>
        <w:rPr>
          <w:rFonts w:ascii="Arial" w:hAnsi="Arial" w:cs="Arial"/>
          <w:color w:val="000000"/>
          <w:sz w:val="24"/>
          <w:szCs w:val="24"/>
        </w:rPr>
        <w:t xml:space="preserve"> Paris 1868, 56-59;</w:t>
      </w:r>
      <w:r>
        <w:rPr>
          <w:rFonts w:ascii="Arial" w:hAnsi="Arial" w:cs="Arial"/>
          <w:i/>
          <w:iCs/>
          <w:color w:val="000000"/>
          <w:sz w:val="24"/>
          <w:szCs w:val="24"/>
        </w:rPr>
        <w:t xml:space="preserve"> Samarie</w:t>
      </w:r>
      <w:r>
        <w:rPr>
          <w:rFonts w:ascii="Arial" w:hAnsi="Arial" w:cs="Arial"/>
          <w:color w:val="000000"/>
          <w:sz w:val="24"/>
          <w:szCs w:val="24"/>
        </w:rPr>
        <w:t>, 2, Paris 1875, 55-64;</w:t>
      </w:r>
      <w:r w:rsidRPr="00E95CD7">
        <w:rPr>
          <w:rFonts w:ascii="Arial" w:hAnsi="Arial" w:cs="Arial"/>
          <w:i/>
          <w:iCs/>
          <w:color w:val="000000"/>
          <w:sz w:val="24"/>
          <w:szCs w:val="24"/>
        </w:rPr>
        <w:t xml:space="preserve"> Galilée</w:t>
      </w:r>
      <w:r>
        <w:rPr>
          <w:rFonts w:ascii="Arial" w:hAnsi="Arial" w:cs="Arial"/>
          <w:color w:val="000000"/>
          <w:sz w:val="24"/>
          <w:szCs w:val="24"/>
        </w:rPr>
        <w:t>, 1, Paris 1880, 46-57 [French].</w:t>
      </w:r>
      <w:r w:rsidRPr="00930905">
        <w:rPr>
          <w:rFonts w:ascii="Arial" w:hAnsi="Arial" w:cs="Arial"/>
          <w:color w:val="000000"/>
          <w:sz w:val="24"/>
          <w:szCs w:val="24"/>
        </w:rPr>
        <w:t xml:space="preserve"> </w:t>
      </w:r>
    </w:p>
    <w:p w:rsidR="008C2418" w:rsidRPr="00215ADA" w:rsidRDefault="008C2418" w:rsidP="00906BAF">
      <w:pPr>
        <w:spacing w:after="0" w:line="240" w:lineRule="auto"/>
        <w:jc w:val="both"/>
        <w:rPr>
          <w:rFonts w:ascii="Arial" w:hAnsi="Arial"/>
          <w:sz w:val="24"/>
          <w:szCs w:val="24"/>
        </w:rPr>
      </w:pPr>
    </w:p>
    <w:p w:rsidR="008C2418" w:rsidRPr="00E3198D" w:rsidRDefault="008C2418" w:rsidP="00906BAF">
      <w:pPr>
        <w:spacing w:after="0" w:line="240" w:lineRule="auto"/>
        <w:jc w:val="both"/>
        <w:rPr>
          <w:rFonts w:ascii="Arial" w:hAnsi="Arial"/>
          <w:sz w:val="24"/>
          <w:szCs w:val="24"/>
          <w:lang w:val="de-DE"/>
        </w:rPr>
      </w:pPr>
      <w:r w:rsidRPr="00E3198D">
        <w:rPr>
          <w:rFonts w:ascii="Arial" w:hAnsi="Arial"/>
          <w:sz w:val="24"/>
          <w:szCs w:val="24"/>
          <w:lang w:val="de-DE"/>
        </w:rPr>
        <w:t xml:space="preserve">S. Klein, </w:t>
      </w:r>
      <w:r w:rsidRPr="00E3198D">
        <w:rPr>
          <w:rFonts w:ascii="Arial" w:hAnsi="Arial"/>
          <w:i/>
          <w:iCs/>
          <w:sz w:val="24"/>
          <w:szCs w:val="24"/>
          <w:lang w:val="de-DE"/>
        </w:rPr>
        <w:t>Eretz Yehuda</w:t>
      </w:r>
      <w:r w:rsidRPr="00E3198D">
        <w:rPr>
          <w:rFonts w:ascii="Arial" w:hAnsi="Arial"/>
          <w:sz w:val="24"/>
          <w:szCs w:val="24"/>
          <w:lang w:val="de-DE"/>
        </w:rPr>
        <w:t>, Tel Aviv 1939, 60 [Hebrew].</w:t>
      </w:r>
    </w:p>
    <w:p w:rsidR="008C2418" w:rsidRPr="00E3198D" w:rsidRDefault="008C2418" w:rsidP="00906BAF">
      <w:pPr>
        <w:spacing w:after="0" w:line="240" w:lineRule="auto"/>
        <w:jc w:val="both"/>
        <w:rPr>
          <w:rFonts w:ascii="Arial" w:hAnsi="Arial"/>
          <w:sz w:val="24"/>
          <w:szCs w:val="24"/>
          <w:lang w:val="de-DE"/>
        </w:rPr>
      </w:pPr>
    </w:p>
    <w:p w:rsidR="008C2418" w:rsidRPr="002F6DA3" w:rsidRDefault="008C2418" w:rsidP="00906BAF">
      <w:pPr>
        <w:spacing w:after="0" w:line="240" w:lineRule="auto"/>
        <w:ind w:left="567" w:hanging="567"/>
        <w:jc w:val="both"/>
        <w:rPr>
          <w:rFonts w:ascii="Arial" w:hAnsi="Arial"/>
          <w:sz w:val="24"/>
          <w:szCs w:val="24"/>
        </w:rPr>
      </w:pPr>
      <w:r>
        <w:rPr>
          <w:rFonts w:ascii="Arial" w:hAnsi="Arial"/>
          <w:sz w:val="24"/>
          <w:szCs w:val="24"/>
        </w:rPr>
        <w:t xml:space="preserve">M. Piccirillo and E. Alliata, </w:t>
      </w:r>
      <w:r>
        <w:rPr>
          <w:rFonts w:ascii="Arial" w:hAnsi="Arial"/>
          <w:i/>
          <w:iCs/>
          <w:sz w:val="24"/>
          <w:szCs w:val="24"/>
        </w:rPr>
        <w:t>The Madaba Map Centenary</w:t>
      </w:r>
      <w:r>
        <w:rPr>
          <w:rFonts w:ascii="Arial" w:hAnsi="Arial"/>
          <w:sz w:val="24"/>
          <w:szCs w:val="24"/>
        </w:rPr>
        <w:t>, Jerusalem 1997, 71-73.</w:t>
      </w:r>
    </w:p>
    <w:p w:rsidR="008C2418" w:rsidRDefault="008C2418" w:rsidP="00906BAF">
      <w:pPr>
        <w:spacing w:after="0" w:line="240" w:lineRule="auto"/>
        <w:jc w:val="both"/>
        <w:rPr>
          <w:rFonts w:ascii="Arial" w:hAnsi="Arial"/>
          <w:sz w:val="24"/>
          <w:szCs w:val="24"/>
        </w:rPr>
      </w:pPr>
      <w:r>
        <w:rPr>
          <w:rFonts w:ascii="Arial" w:hAnsi="Arial"/>
          <w:sz w:val="24"/>
          <w:szCs w:val="24"/>
        </w:rPr>
        <w:t xml:space="preserve"> </w:t>
      </w:r>
    </w:p>
    <w:p w:rsidR="008C2418" w:rsidRDefault="008C2418" w:rsidP="00906BAF">
      <w:pPr>
        <w:spacing w:after="0" w:line="240" w:lineRule="auto"/>
        <w:ind w:left="720" w:hanging="720"/>
        <w:jc w:val="both"/>
        <w:rPr>
          <w:rFonts w:ascii="Arial" w:hAnsi="Arial"/>
          <w:sz w:val="24"/>
          <w:szCs w:val="24"/>
        </w:rPr>
      </w:pPr>
      <w:r>
        <w:rPr>
          <w:rFonts w:ascii="Arial" w:hAnsi="Arial"/>
          <w:sz w:val="24"/>
          <w:szCs w:val="24"/>
        </w:rPr>
        <w:t xml:space="preserve">E. Robinson, E. Smith, </w:t>
      </w:r>
      <w:r>
        <w:rPr>
          <w:rFonts w:ascii="Arial" w:hAnsi="Arial"/>
          <w:i/>
          <w:iCs/>
          <w:sz w:val="24"/>
          <w:szCs w:val="24"/>
        </w:rPr>
        <w:t>Biblical Researches in Palestine, Mount Sinai and Arabia Petraea</w:t>
      </w:r>
      <w:r>
        <w:rPr>
          <w:rFonts w:ascii="Arial" w:hAnsi="Arial"/>
          <w:sz w:val="24"/>
          <w:szCs w:val="24"/>
        </w:rPr>
        <w:t>, London 1841, 2, 328-329; 3, 30.</w:t>
      </w:r>
    </w:p>
    <w:p w:rsidR="008C2418" w:rsidRPr="0058123C" w:rsidRDefault="008C2418" w:rsidP="00906BAF">
      <w:pPr>
        <w:spacing w:after="0" w:line="240" w:lineRule="auto"/>
        <w:ind w:left="720" w:hanging="720"/>
        <w:jc w:val="both"/>
        <w:rPr>
          <w:rFonts w:ascii="Arial" w:hAnsi="Arial"/>
          <w:sz w:val="24"/>
          <w:szCs w:val="24"/>
        </w:rPr>
      </w:pPr>
    </w:p>
    <w:p w:rsidR="008C2418" w:rsidRDefault="008C2418" w:rsidP="00906BAF">
      <w:pPr>
        <w:spacing w:after="0" w:line="240" w:lineRule="auto"/>
        <w:ind w:left="720" w:hanging="720"/>
        <w:jc w:val="both"/>
        <w:rPr>
          <w:rFonts w:ascii="Arial" w:hAnsi="Arial"/>
          <w:sz w:val="24"/>
          <w:szCs w:val="24"/>
        </w:rPr>
      </w:pPr>
      <w:r>
        <w:rPr>
          <w:rFonts w:ascii="Arial" w:hAnsi="Arial"/>
          <w:sz w:val="24"/>
          <w:szCs w:val="24"/>
        </w:rPr>
        <w:t xml:space="preserve">J. Schwarz, </w:t>
      </w:r>
      <w:r>
        <w:rPr>
          <w:rFonts w:ascii="Arial" w:hAnsi="Arial"/>
          <w:i/>
          <w:iCs/>
          <w:sz w:val="24"/>
          <w:szCs w:val="24"/>
        </w:rPr>
        <w:t>Tevu’ot Ha-aretz</w:t>
      </w:r>
      <w:r>
        <w:rPr>
          <w:rFonts w:ascii="Arial" w:hAnsi="Arial"/>
          <w:sz w:val="24"/>
          <w:szCs w:val="24"/>
        </w:rPr>
        <w:t>, Jerusalem (1845) 1968, 115 [Hebrew].</w:t>
      </w:r>
    </w:p>
    <w:p w:rsidR="008C2418" w:rsidRDefault="008C2418" w:rsidP="00906BAF">
      <w:pPr>
        <w:spacing w:after="0" w:line="240" w:lineRule="auto"/>
        <w:ind w:left="720" w:hanging="720"/>
        <w:jc w:val="both"/>
        <w:rPr>
          <w:rFonts w:ascii="Arial" w:hAnsi="Arial"/>
          <w:sz w:val="24"/>
          <w:szCs w:val="24"/>
        </w:rPr>
      </w:pPr>
    </w:p>
    <w:p w:rsidR="008C2418" w:rsidRDefault="008C2418" w:rsidP="00906BAF">
      <w:pPr>
        <w:spacing w:after="0" w:line="240" w:lineRule="auto"/>
        <w:ind w:left="720" w:hanging="720"/>
        <w:jc w:val="both"/>
        <w:rPr>
          <w:rFonts w:ascii="Arial" w:hAnsi="Arial"/>
          <w:sz w:val="24"/>
          <w:szCs w:val="24"/>
        </w:rPr>
      </w:pPr>
      <w:r>
        <w:rPr>
          <w:rFonts w:ascii="Arial" w:hAnsi="Arial"/>
          <w:sz w:val="24"/>
          <w:szCs w:val="24"/>
        </w:rPr>
        <w:t xml:space="preserve">J. E. Taylor, </w:t>
      </w:r>
      <w:r>
        <w:rPr>
          <w:rFonts w:ascii="Arial" w:hAnsi="Arial"/>
          <w:i/>
          <w:iCs/>
          <w:sz w:val="24"/>
          <w:szCs w:val="24"/>
        </w:rPr>
        <w:t>The Onomasticon by Eusebius of Caesarea</w:t>
      </w:r>
      <w:r>
        <w:rPr>
          <w:rFonts w:ascii="Arial" w:hAnsi="Arial"/>
          <w:sz w:val="24"/>
          <w:szCs w:val="24"/>
        </w:rPr>
        <w:t>, Jerusalem 2003, 42, 73.</w:t>
      </w:r>
    </w:p>
    <w:p w:rsidR="008C2418" w:rsidRPr="005C64CB" w:rsidRDefault="008C2418" w:rsidP="00906BAF">
      <w:pPr>
        <w:spacing w:after="0" w:line="240" w:lineRule="auto"/>
        <w:ind w:left="720" w:hanging="720"/>
        <w:jc w:val="both"/>
        <w:rPr>
          <w:rFonts w:ascii="Arial" w:hAnsi="Arial"/>
          <w:sz w:val="24"/>
          <w:szCs w:val="24"/>
        </w:rPr>
      </w:pPr>
    </w:p>
    <w:p w:rsidR="008C2418" w:rsidRDefault="008C2418" w:rsidP="00906BAF">
      <w:pPr>
        <w:spacing w:after="0" w:line="240" w:lineRule="auto"/>
        <w:ind w:left="720" w:hanging="720"/>
        <w:jc w:val="both"/>
        <w:rPr>
          <w:rFonts w:ascii="Arial" w:hAnsi="Arial"/>
          <w:sz w:val="24"/>
          <w:szCs w:val="24"/>
        </w:rPr>
      </w:pPr>
      <w:r w:rsidRPr="00AF0519">
        <w:rPr>
          <w:rFonts w:ascii="Arial" w:hAnsi="Arial"/>
          <w:sz w:val="24"/>
          <w:szCs w:val="24"/>
        </w:rPr>
        <w:t xml:space="preserve">S. </w:t>
      </w:r>
      <w:r w:rsidRPr="00E95CD7">
        <w:rPr>
          <w:rFonts w:ascii="Arial" w:hAnsi="Arial"/>
          <w:sz w:val="24"/>
          <w:szCs w:val="24"/>
        </w:rPr>
        <w:t xml:space="preserve">Weksler-Bdolah, </w:t>
      </w:r>
      <w:r>
        <w:rPr>
          <w:rFonts w:ascii="Arial" w:hAnsi="Arial"/>
          <w:sz w:val="24"/>
          <w:szCs w:val="24"/>
        </w:rPr>
        <w:t>“</w:t>
      </w:r>
      <w:r w:rsidRPr="00E95CD7">
        <w:rPr>
          <w:rFonts w:ascii="Arial" w:hAnsi="Arial"/>
          <w:sz w:val="24"/>
          <w:szCs w:val="24"/>
        </w:rPr>
        <w:t>Mo</w:t>
      </w:r>
      <w:r w:rsidR="003E3FC5">
        <w:rPr>
          <w:rFonts w:ascii="Arial" w:hAnsi="Arial"/>
          <w:sz w:val="24"/>
          <w:szCs w:val="24"/>
        </w:rPr>
        <w:t>diin</w:t>
      </w:r>
      <w:r>
        <w:rPr>
          <w:rFonts w:ascii="Arial" w:hAnsi="Arial"/>
          <w:sz w:val="24"/>
          <w:szCs w:val="24"/>
        </w:rPr>
        <w:t>:</w:t>
      </w:r>
      <w:r w:rsidRPr="00E95CD7">
        <w:rPr>
          <w:rFonts w:ascii="Arial" w:hAnsi="Arial"/>
          <w:sz w:val="24"/>
          <w:szCs w:val="24"/>
        </w:rPr>
        <w:t xml:space="preserve"> </w:t>
      </w:r>
      <w:r>
        <w:rPr>
          <w:rFonts w:ascii="Arial" w:hAnsi="Arial"/>
          <w:sz w:val="24"/>
          <w:szCs w:val="24"/>
        </w:rPr>
        <w:t>H</w:t>
      </w:r>
      <w:r w:rsidRPr="00E95CD7">
        <w:rPr>
          <w:rFonts w:ascii="Arial" w:hAnsi="Arial"/>
          <w:sz w:val="24"/>
          <w:szCs w:val="24"/>
        </w:rPr>
        <w:t>ometown of the Maccabees,</w:t>
      </w:r>
      <w:r>
        <w:rPr>
          <w:rFonts w:ascii="Arial" w:hAnsi="Arial"/>
          <w:sz w:val="24"/>
          <w:szCs w:val="24"/>
        </w:rPr>
        <w:t>”</w:t>
      </w:r>
      <w:r w:rsidRPr="00AF0519">
        <w:rPr>
          <w:rFonts w:ascii="Arial" w:hAnsi="Arial"/>
          <w:sz w:val="24"/>
          <w:szCs w:val="24"/>
        </w:rPr>
        <w:t xml:space="preserve"> </w:t>
      </w:r>
      <w:r w:rsidRPr="00AF0519">
        <w:rPr>
          <w:rFonts w:ascii="Arial" w:hAnsi="Arial"/>
          <w:i/>
          <w:iCs/>
          <w:sz w:val="24"/>
          <w:szCs w:val="24"/>
        </w:rPr>
        <w:t>Biblical Archeology Review</w:t>
      </w:r>
      <w:r w:rsidRPr="00AF0519">
        <w:rPr>
          <w:rFonts w:ascii="Arial" w:hAnsi="Arial"/>
          <w:sz w:val="24"/>
          <w:szCs w:val="24"/>
        </w:rPr>
        <w:t xml:space="preserve"> 40 (2014), 52-58, 70.</w:t>
      </w:r>
    </w:p>
    <w:p w:rsidR="008C2418" w:rsidRPr="00AF0519" w:rsidRDefault="008C2418" w:rsidP="00906BAF">
      <w:pPr>
        <w:spacing w:after="0" w:line="240" w:lineRule="auto"/>
        <w:ind w:left="720" w:hanging="720"/>
        <w:jc w:val="both"/>
        <w:rPr>
          <w:rFonts w:ascii="Arial" w:hAnsi="Arial"/>
          <w:sz w:val="24"/>
          <w:szCs w:val="24"/>
        </w:rPr>
      </w:pPr>
    </w:p>
    <w:p w:rsidR="008C2418" w:rsidRDefault="008C2418" w:rsidP="00906BAF">
      <w:pPr>
        <w:spacing w:after="0" w:line="240" w:lineRule="auto"/>
        <w:ind w:left="720" w:hanging="720"/>
        <w:jc w:val="both"/>
        <w:rPr>
          <w:rFonts w:ascii="Arial" w:hAnsi="Arial"/>
          <w:sz w:val="24"/>
          <w:szCs w:val="24"/>
        </w:rPr>
      </w:pPr>
      <w:r>
        <w:rPr>
          <w:rFonts w:ascii="Arial" w:hAnsi="Arial"/>
          <w:sz w:val="24"/>
          <w:szCs w:val="24"/>
        </w:rPr>
        <w:t xml:space="preserve">S. </w:t>
      </w:r>
      <w:r w:rsidRPr="00B25AD1">
        <w:rPr>
          <w:rFonts w:ascii="Arial" w:hAnsi="Arial"/>
          <w:sz w:val="24"/>
          <w:szCs w:val="24"/>
        </w:rPr>
        <w:t>Weksler-Bdola</w:t>
      </w:r>
      <w:r>
        <w:rPr>
          <w:rFonts w:ascii="Arial" w:hAnsi="Arial"/>
          <w:sz w:val="24"/>
          <w:szCs w:val="24"/>
        </w:rPr>
        <w:t>h</w:t>
      </w:r>
      <w:r w:rsidRPr="00B25AD1">
        <w:rPr>
          <w:rFonts w:ascii="Arial" w:hAnsi="Arial"/>
          <w:sz w:val="24"/>
          <w:szCs w:val="24"/>
        </w:rPr>
        <w:t>, A</w:t>
      </w:r>
      <w:r>
        <w:rPr>
          <w:rFonts w:ascii="Arial" w:hAnsi="Arial"/>
          <w:sz w:val="24"/>
          <w:szCs w:val="24"/>
        </w:rPr>
        <w:t>. Onn,</w:t>
      </w:r>
      <w:r w:rsidRPr="00B25AD1">
        <w:rPr>
          <w:rFonts w:ascii="Arial" w:hAnsi="Arial"/>
          <w:sz w:val="24"/>
          <w:szCs w:val="24"/>
        </w:rPr>
        <w:t xml:space="preserve"> Y</w:t>
      </w:r>
      <w:r>
        <w:rPr>
          <w:rFonts w:ascii="Arial" w:hAnsi="Arial"/>
          <w:sz w:val="24"/>
          <w:szCs w:val="24"/>
        </w:rPr>
        <w:t>. Rapuano, “Identifying the Hasmonean Village of Mo</w:t>
      </w:r>
      <w:r w:rsidR="003E3FC5">
        <w:rPr>
          <w:rFonts w:ascii="Arial" w:hAnsi="Arial"/>
          <w:sz w:val="24"/>
          <w:szCs w:val="24"/>
        </w:rPr>
        <w:t>diin</w:t>
      </w:r>
      <w:r>
        <w:rPr>
          <w:rFonts w:ascii="Arial" w:hAnsi="Arial"/>
          <w:sz w:val="24"/>
          <w:szCs w:val="24"/>
        </w:rPr>
        <w:t xml:space="preserve">,” </w:t>
      </w:r>
      <w:r>
        <w:rPr>
          <w:rFonts w:ascii="Arial" w:hAnsi="Arial"/>
          <w:i/>
          <w:iCs/>
          <w:sz w:val="24"/>
          <w:szCs w:val="24"/>
        </w:rPr>
        <w:t>Cathedra</w:t>
      </w:r>
      <w:r>
        <w:rPr>
          <w:rFonts w:ascii="Arial" w:hAnsi="Arial"/>
          <w:sz w:val="24"/>
          <w:szCs w:val="24"/>
        </w:rPr>
        <w:t xml:space="preserve"> 109 (2003), 69-86 [Hebrew].</w:t>
      </w:r>
    </w:p>
    <w:p w:rsidR="008C2418" w:rsidRDefault="008C2418" w:rsidP="00906BAF">
      <w:pPr>
        <w:spacing w:after="0" w:line="240" w:lineRule="auto"/>
        <w:jc w:val="both"/>
        <w:rPr>
          <w:rFonts w:ascii="Arial" w:hAnsi="Arial"/>
          <w:sz w:val="24"/>
          <w:szCs w:val="24"/>
        </w:rPr>
      </w:pPr>
    </w:p>
    <w:p w:rsidR="008C2418" w:rsidRDefault="008C2418" w:rsidP="00906BAF">
      <w:pPr>
        <w:spacing w:after="0" w:line="240" w:lineRule="auto"/>
        <w:ind w:left="720" w:hanging="720"/>
        <w:jc w:val="both"/>
        <w:rPr>
          <w:rFonts w:ascii="Arial" w:hAnsi="Arial"/>
          <w:sz w:val="24"/>
          <w:szCs w:val="24"/>
        </w:rPr>
      </w:pPr>
      <w:r>
        <w:rPr>
          <w:rFonts w:ascii="Arial" w:hAnsi="Arial"/>
          <w:sz w:val="24"/>
          <w:szCs w:val="24"/>
        </w:rPr>
        <w:t>B. Zissu, L. Perry, “Identification of Ancient Mo</w:t>
      </w:r>
      <w:r w:rsidR="003E3FC5">
        <w:rPr>
          <w:rFonts w:ascii="Arial" w:hAnsi="Arial"/>
          <w:sz w:val="24"/>
          <w:szCs w:val="24"/>
        </w:rPr>
        <w:t>diin</w:t>
      </w:r>
      <w:r>
        <w:rPr>
          <w:rFonts w:ascii="Arial" w:hAnsi="Arial"/>
          <w:sz w:val="24"/>
          <w:szCs w:val="24"/>
        </w:rPr>
        <w:t xml:space="preserve"> and Byzantine Moditha,” </w:t>
      </w:r>
      <w:r>
        <w:rPr>
          <w:rFonts w:ascii="Arial" w:hAnsi="Arial"/>
          <w:i/>
          <w:iCs/>
          <w:sz w:val="24"/>
          <w:szCs w:val="24"/>
        </w:rPr>
        <w:t xml:space="preserve">Cathedra </w:t>
      </w:r>
      <w:r>
        <w:rPr>
          <w:rFonts w:ascii="Arial" w:hAnsi="Arial"/>
          <w:sz w:val="24"/>
          <w:szCs w:val="24"/>
        </w:rPr>
        <w:t xml:space="preserve">125 (2007), 5-25 [Hebrew]. </w:t>
      </w:r>
    </w:p>
    <w:p w:rsidR="008C2418" w:rsidRDefault="008C2418" w:rsidP="00906BAF">
      <w:pPr>
        <w:spacing w:after="0" w:line="240" w:lineRule="auto"/>
        <w:ind w:left="720" w:hanging="720"/>
        <w:jc w:val="both"/>
        <w:rPr>
          <w:rFonts w:ascii="Arial" w:hAnsi="Arial"/>
          <w:sz w:val="24"/>
          <w:szCs w:val="24"/>
        </w:rPr>
      </w:pPr>
    </w:p>
    <w:p w:rsidR="008C2418" w:rsidRPr="00B25AD1" w:rsidRDefault="008C2418" w:rsidP="00906BAF">
      <w:pPr>
        <w:spacing w:after="0" w:line="240" w:lineRule="auto"/>
        <w:ind w:left="720" w:hanging="720"/>
        <w:jc w:val="both"/>
        <w:rPr>
          <w:rFonts w:ascii="Arial" w:hAnsi="Arial"/>
          <w:sz w:val="24"/>
          <w:szCs w:val="24"/>
        </w:rPr>
      </w:pPr>
    </w:p>
    <w:p w:rsidR="008C2418" w:rsidRPr="00FC7BF8" w:rsidRDefault="008C2418" w:rsidP="00906BAF">
      <w:pPr>
        <w:spacing w:after="0" w:line="240" w:lineRule="auto"/>
        <w:rPr>
          <w:rFonts w:ascii="Arial" w:hAnsi="Arial"/>
          <w:sz w:val="24"/>
          <w:szCs w:val="24"/>
        </w:rPr>
      </w:pPr>
    </w:p>
    <w:sectPr w:rsidR="008C2418" w:rsidRPr="00FC7BF8" w:rsidSect="00906BAF">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F35" w:rsidRDefault="00DD6F35" w:rsidP="00F94FA1">
      <w:pPr>
        <w:spacing w:after="0" w:line="240" w:lineRule="auto"/>
      </w:pPr>
      <w:r>
        <w:separator/>
      </w:r>
    </w:p>
  </w:endnote>
  <w:endnote w:type="continuationSeparator" w:id="0">
    <w:p w:rsidR="00DD6F35" w:rsidRDefault="00DD6F35"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F35" w:rsidRDefault="00DD6F35" w:rsidP="00F94FA1">
      <w:pPr>
        <w:spacing w:after="0" w:line="240" w:lineRule="auto"/>
      </w:pPr>
      <w:r>
        <w:separator/>
      </w:r>
    </w:p>
  </w:footnote>
  <w:footnote w:type="continuationSeparator" w:id="0">
    <w:p w:rsidR="00DD6F35" w:rsidRDefault="00DD6F35" w:rsidP="00F94FA1">
      <w:pPr>
        <w:spacing w:after="0" w:line="240" w:lineRule="auto"/>
      </w:pPr>
      <w:r>
        <w:continuationSeparator/>
      </w:r>
    </w:p>
  </w:footnote>
  <w:footnote w:id="1">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This identification was first suggested by the Franciscan monk Emmanuel Forner in 1866.</w:t>
      </w:r>
    </w:p>
  </w:footnote>
  <w:footnote w:id="2">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The word </w:t>
      </w:r>
      <w:r w:rsidRPr="00AC2266">
        <w:rPr>
          <w:rFonts w:ascii="Arial" w:hAnsi="Arial"/>
          <w:i/>
          <w:iCs/>
        </w:rPr>
        <w:t xml:space="preserve">qal’a </w:t>
      </w:r>
      <w:r w:rsidRPr="00AC2266">
        <w:rPr>
          <w:rFonts w:ascii="Arial" w:hAnsi="Arial"/>
        </w:rPr>
        <w:t xml:space="preserve">means “fortress,” referring to a prominent fortress at the top of the hill that existing during the Middle Ages. A </w:t>
      </w:r>
      <w:r w:rsidRPr="00AC2266">
        <w:rPr>
          <w:rFonts w:ascii="Arial" w:hAnsi="Arial"/>
          <w:i/>
          <w:iCs/>
        </w:rPr>
        <w:t>tantur</w:t>
      </w:r>
      <w:r w:rsidRPr="00AC2266">
        <w:rPr>
          <w:rFonts w:ascii="Arial" w:hAnsi="Arial"/>
        </w:rPr>
        <w:t>, in colloquial Arabic, is a pointed hat; it can also refer to a conical hill.</w:t>
      </w:r>
    </w:p>
  </w:footnote>
  <w:footnote w:id="3">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w:t>
      </w:r>
      <w:r w:rsidRPr="00AC2266">
        <w:rPr>
          <w:rFonts w:ascii="Arial" w:hAnsi="Arial"/>
          <w:i/>
          <w:iCs/>
        </w:rPr>
        <w:t xml:space="preserve">Burj </w:t>
      </w:r>
      <w:r w:rsidRPr="00AC2266">
        <w:rPr>
          <w:rFonts w:ascii="Arial" w:hAnsi="Arial"/>
        </w:rPr>
        <w:t>is another word for “fortress.”</w:t>
      </w:r>
    </w:p>
  </w:footnote>
  <w:footnote w:id="4">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Thanks to the work of advocates for the preservation of nature and antiquities, in particular Prof. Yair</w:t>
      </w:r>
      <w:r>
        <w:rPr>
          <w:rFonts w:ascii="Arial" w:hAnsi="Arial"/>
        </w:rPr>
        <w:t xml:space="preserve"> Parag,</w:t>
      </w:r>
      <w:r w:rsidRPr="00AC2266">
        <w:rPr>
          <w:rFonts w:ascii="Arial" w:hAnsi="Arial"/>
        </w:rPr>
        <w:t xml:space="preserve"> </w:t>
      </w:r>
      <w:r w:rsidRPr="00AC2266">
        <w:rPr>
          <w:rFonts w:ascii="Arial" w:hAnsi="Arial"/>
          <w:i/>
          <w:iCs/>
        </w:rPr>
        <w:t>z”l</w:t>
      </w:r>
      <w:r w:rsidRPr="00AC2266">
        <w:rPr>
          <w:rFonts w:ascii="Arial" w:hAnsi="Arial"/>
        </w:rPr>
        <w:t>, this hill was saved from the clutches of building developers and converted into a nature park.</w:t>
      </w:r>
    </w:p>
  </w:footnote>
  <w:footnote w:id="5">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Lending credence to this theory is the existence of other locations in</w:t>
      </w:r>
      <w:r>
        <w:rPr>
          <w:rFonts w:ascii="Arial" w:hAnsi="Arial"/>
        </w:rPr>
        <w:t xml:space="preserve"> the Land of</w:t>
      </w:r>
      <w:r w:rsidRPr="00AC2266">
        <w:rPr>
          <w:rFonts w:ascii="Arial" w:hAnsi="Arial"/>
        </w:rPr>
        <w:t xml:space="preserve"> Israel where the ancient name evolved and took on a new meaning in Arabic.</w:t>
      </w:r>
      <w:r>
        <w:rPr>
          <w:rFonts w:ascii="Arial" w:hAnsi="Arial"/>
        </w:rPr>
        <w:t xml:space="preserve"> Examples were detailed by the excavators in their article; see bibliography below.</w:t>
      </w:r>
    </w:p>
  </w:footnote>
  <w:footnote w:id="6">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The question concerns the distance beyond which a person is exempt from bringing the </w:t>
      </w:r>
      <w:r w:rsidRPr="00AC2266">
        <w:rPr>
          <w:rFonts w:ascii="Arial" w:hAnsi="Arial"/>
          <w:i/>
          <w:iCs/>
        </w:rPr>
        <w:t>korban Pesach</w:t>
      </w:r>
      <w:r w:rsidRPr="00AC2266">
        <w:rPr>
          <w:rFonts w:ascii="Arial" w:hAnsi="Arial"/>
        </w:rPr>
        <w:t xml:space="preserve"> on its usual date, and must instead do so one month later on </w:t>
      </w:r>
      <w:r w:rsidRPr="00AC2266">
        <w:rPr>
          <w:rFonts w:ascii="Arial" w:hAnsi="Arial"/>
          <w:i/>
          <w:iCs/>
        </w:rPr>
        <w:t>Pesach Sheni</w:t>
      </w:r>
      <w:r w:rsidRPr="00AC2266">
        <w:rPr>
          <w:rFonts w:ascii="Arial" w:hAnsi="Arial"/>
        </w:rPr>
        <w:t>.</w:t>
      </w:r>
    </w:p>
  </w:footnote>
  <w:footnote w:id="7">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Literally, “the refutation of Ulla stands as a refutation</w:t>
      </w:r>
      <w:r w:rsidR="00C47E66">
        <w:rPr>
          <w:rFonts w:ascii="Arial" w:hAnsi="Arial"/>
        </w:rPr>
        <w:t>.</w:t>
      </w:r>
      <w:r w:rsidRPr="00AC2266">
        <w:rPr>
          <w:rFonts w:ascii="Arial" w:hAnsi="Arial"/>
        </w:rPr>
        <w:t>”</w:t>
      </w:r>
    </w:p>
  </w:footnote>
  <w:footnote w:id="8">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According to Rashi, the half-day here refers to the hours during which the </w:t>
      </w:r>
      <w:r w:rsidRPr="00AC2266">
        <w:rPr>
          <w:rFonts w:ascii="Arial" w:hAnsi="Arial"/>
          <w:i/>
          <w:iCs/>
        </w:rPr>
        <w:t>korban Pesach</w:t>
      </w:r>
      <w:r w:rsidRPr="00AC2266">
        <w:rPr>
          <w:rFonts w:ascii="Arial" w:hAnsi="Arial"/>
        </w:rPr>
        <w:t xml:space="preserve"> is slaughtered, i.e., from midday to sunset. In contrast, the Rambam writes that the half-day refers to the hours leading up to the time when the </w:t>
      </w:r>
      <w:r w:rsidRPr="00AC2266">
        <w:rPr>
          <w:rFonts w:ascii="Arial" w:hAnsi="Arial"/>
          <w:i/>
          <w:iCs/>
        </w:rPr>
        <w:t>korban Pesach</w:t>
      </w:r>
      <w:r w:rsidRPr="00AC2266">
        <w:rPr>
          <w:rFonts w:ascii="Arial" w:hAnsi="Arial"/>
        </w:rPr>
        <w:t xml:space="preserve"> is slaughtered, i.e., from sunrise to midday.</w:t>
      </w:r>
    </w:p>
  </w:footnote>
  <w:footnote w:id="9">
    <w:p w:rsidR="008C2418" w:rsidRDefault="008C2418" w:rsidP="005B6081">
      <w:pPr>
        <w:pStyle w:val="FootnoteText"/>
        <w:jc w:val="both"/>
      </w:pPr>
      <w:r w:rsidRPr="00E95CD7">
        <w:rPr>
          <w:rStyle w:val="FootnoteReference"/>
          <w:rFonts w:ascii="Arial" w:hAnsi="Arial" w:cs="Arial"/>
        </w:rPr>
        <w:footnoteRef/>
      </w:r>
      <w:r w:rsidRPr="00E95CD7">
        <w:rPr>
          <w:rFonts w:ascii="Arial" w:hAnsi="Arial"/>
        </w:rPr>
        <w:t xml:space="preserve"> </w:t>
      </w:r>
      <w:r>
        <w:rPr>
          <w:rFonts w:ascii="Arial" w:hAnsi="Arial"/>
        </w:rPr>
        <w:t xml:space="preserve">The </w:t>
      </w:r>
      <w:r w:rsidRPr="00E95CD7">
        <w:rPr>
          <w:rFonts w:ascii="Arial" w:hAnsi="Arial"/>
        </w:rPr>
        <w:t>Rambam</w:t>
      </w:r>
      <w:r>
        <w:rPr>
          <w:rFonts w:ascii="Arial" w:hAnsi="Arial"/>
        </w:rPr>
        <w:t>’s</w:t>
      </w:r>
      <w:r w:rsidRPr="00E95CD7">
        <w:rPr>
          <w:rFonts w:ascii="Arial" w:hAnsi="Arial"/>
        </w:rPr>
        <w:t xml:space="preserve"> support of th</w:t>
      </w:r>
      <w:r>
        <w:rPr>
          <w:rFonts w:ascii="Arial" w:hAnsi="Arial"/>
        </w:rPr>
        <w:t>e</w:t>
      </w:r>
      <w:r w:rsidRPr="00E95CD7">
        <w:rPr>
          <w:rFonts w:ascii="Arial" w:hAnsi="Arial"/>
        </w:rPr>
        <w:t xml:space="preserve"> 20</w:t>
      </w:r>
      <w:r>
        <w:rPr>
          <w:rFonts w:ascii="Arial" w:hAnsi="Arial"/>
        </w:rPr>
        <w:t>-</w:t>
      </w:r>
      <w:r w:rsidRPr="00E95CD7">
        <w:rPr>
          <w:rFonts w:ascii="Arial" w:hAnsi="Arial"/>
        </w:rPr>
        <w:t xml:space="preserve">miles view can be deduced from his commentary to the </w:t>
      </w:r>
      <w:r w:rsidRPr="00E95CD7">
        <w:rPr>
          <w:rFonts w:ascii="Arial" w:hAnsi="Arial"/>
          <w:i/>
          <w:iCs/>
        </w:rPr>
        <w:t>Mishna</w:t>
      </w:r>
      <w:r w:rsidRPr="00E95CD7">
        <w:rPr>
          <w:rFonts w:ascii="Arial" w:hAnsi="Arial"/>
        </w:rPr>
        <w:t xml:space="preserve"> </w:t>
      </w:r>
      <w:r w:rsidRPr="00E95CD7">
        <w:rPr>
          <w:rFonts w:ascii="Arial" w:hAnsi="Arial"/>
          <w:i/>
          <w:iCs/>
        </w:rPr>
        <w:t>Bera</w:t>
      </w:r>
      <w:r>
        <w:rPr>
          <w:rFonts w:ascii="Arial" w:hAnsi="Arial"/>
          <w:i/>
          <w:iCs/>
        </w:rPr>
        <w:t>k</w:t>
      </w:r>
      <w:r w:rsidRPr="00E95CD7">
        <w:rPr>
          <w:rFonts w:ascii="Arial" w:hAnsi="Arial"/>
          <w:i/>
          <w:iCs/>
        </w:rPr>
        <w:t xml:space="preserve">hot </w:t>
      </w:r>
      <w:r w:rsidRPr="00E95CD7">
        <w:rPr>
          <w:rFonts w:ascii="Arial" w:hAnsi="Arial"/>
        </w:rPr>
        <w:t>1:1.</w:t>
      </w:r>
    </w:p>
  </w:footnote>
  <w:footnote w:id="10">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In the Rambam’s halakhic methodology, he tended to defend rulings based on the eyewitness accounts of </w:t>
      </w:r>
      <w:r w:rsidRPr="00AC2266">
        <w:rPr>
          <w:rFonts w:ascii="Arial" w:hAnsi="Arial"/>
          <w:i/>
          <w:iCs/>
        </w:rPr>
        <w:t>Chazal</w:t>
      </w:r>
      <w:r w:rsidRPr="00AC2266">
        <w:rPr>
          <w:rFonts w:ascii="Arial" w:hAnsi="Arial"/>
        </w:rPr>
        <w:t xml:space="preserve">, even when they went against the accepted </w:t>
      </w:r>
      <w:r w:rsidRPr="00270926">
        <w:rPr>
          <w:rFonts w:ascii="Arial" w:hAnsi="Arial"/>
        </w:rPr>
        <w:t>halakha</w:t>
      </w:r>
      <w:r w:rsidRPr="00AC2266">
        <w:rPr>
          <w:rFonts w:ascii="Arial" w:hAnsi="Arial"/>
        </w:rPr>
        <w:t xml:space="preserve">. See </w:t>
      </w:r>
      <w:r w:rsidRPr="00AC2266">
        <w:rPr>
          <w:rFonts w:ascii="Arial" w:hAnsi="Arial"/>
          <w:i/>
          <w:iCs/>
        </w:rPr>
        <w:t xml:space="preserve">Hilkhot Kelei Mikdash </w:t>
      </w:r>
      <w:r w:rsidRPr="00AC2266">
        <w:rPr>
          <w:rFonts w:ascii="Arial" w:hAnsi="Arial"/>
        </w:rPr>
        <w:t>9:1 for comparison.</w:t>
      </w:r>
    </w:p>
  </w:footnote>
  <w:footnote w:id="11">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In order to accept this approach, it is necessary to find a logical or text-based explanation for why here, unlike other areas of </w:t>
      </w:r>
      <w:r w:rsidRPr="00270926">
        <w:rPr>
          <w:rFonts w:ascii="Arial" w:hAnsi="Arial"/>
        </w:rPr>
        <w:t>halakha</w:t>
      </w:r>
      <w:r w:rsidRPr="00AC2266">
        <w:rPr>
          <w:rFonts w:ascii="Arial" w:hAnsi="Arial"/>
        </w:rPr>
        <w:t>, a leisurely pace is used.</w:t>
      </w:r>
    </w:p>
  </w:footnote>
  <w:footnote w:id="12">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Modi’im was located in the region known as </w:t>
      </w:r>
      <w:r w:rsidRPr="00AC2266">
        <w:rPr>
          <w:rFonts w:ascii="Arial" w:hAnsi="Arial"/>
          <w:i/>
          <w:iCs/>
        </w:rPr>
        <w:t xml:space="preserve">Har Ha-melekh </w:t>
      </w:r>
      <w:r w:rsidRPr="00AC2266">
        <w:rPr>
          <w:rFonts w:ascii="Arial" w:hAnsi="Arial"/>
        </w:rPr>
        <w:t>(King’s Mount), which was inhabited solely by</w:t>
      </w:r>
      <w:r>
        <w:rPr>
          <w:rFonts w:ascii="Arial" w:hAnsi="Arial"/>
        </w:rPr>
        <w:t xml:space="preserve"> non-Jews</w:t>
      </w:r>
      <w:r w:rsidRPr="00AC2266">
        <w:rPr>
          <w:rFonts w:ascii="Arial" w:hAnsi="Arial"/>
        </w:rPr>
        <w:t xml:space="preserve"> during the Amoraic period. Visiting the area at the time often proved deadly for Jews; see </w:t>
      </w:r>
      <w:r w:rsidRPr="00AC2266">
        <w:rPr>
          <w:rFonts w:ascii="Arial" w:hAnsi="Arial"/>
          <w:i/>
          <w:iCs/>
        </w:rPr>
        <w:t xml:space="preserve">Yerushalmi Shabbat </w:t>
      </w:r>
      <w:r w:rsidRPr="00AC2266">
        <w:rPr>
          <w:rFonts w:ascii="Arial" w:hAnsi="Arial"/>
        </w:rPr>
        <w:t>1:4 (10b). No synagogue remnants have been found in this region from the Byzantine period, while many churches from that era have in fact been found.</w:t>
      </w:r>
    </w:p>
  </w:footnote>
  <w:footnote w:id="13">
    <w:p w:rsidR="008C2418" w:rsidRDefault="008C2418" w:rsidP="00906BAF">
      <w:pPr>
        <w:pStyle w:val="FootnoteText"/>
        <w:jc w:val="both"/>
      </w:pPr>
      <w:r w:rsidRPr="00AC2266">
        <w:rPr>
          <w:rStyle w:val="FootnoteReference"/>
          <w:rFonts w:ascii="Arial" w:hAnsi="Arial" w:cs="Arial"/>
        </w:rPr>
        <w:footnoteRef/>
      </w:r>
      <w:r w:rsidRPr="00AC2266">
        <w:rPr>
          <w:rFonts w:ascii="Arial" w:hAnsi="Arial"/>
        </w:rPr>
        <w:t xml:space="preserve"> </w:t>
      </w:r>
      <w:r>
        <w:rPr>
          <w:rFonts w:ascii="Arial" w:hAnsi="Arial"/>
        </w:rPr>
        <w:t>J. J. Ajdler suggested a similar solution in his article, though his proposal contains several flaws and unnecessary complications.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A68B6"/>
    <w:multiLevelType w:val="hybridMultilevel"/>
    <w:tmpl w:val="5E463F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7AF4363"/>
    <w:multiLevelType w:val="hybridMultilevel"/>
    <w:tmpl w:val="C484881E"/>
    <w:lvl w:ilvl="0" w:tplc="700020B6">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94C0773"/>
    <w:multiLevelType w:val="hybridMultilevel"/>
    <w:tmpl w:val="C30AFAC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DC22642"/>
    <w:multiLevelType w:val="hybridMultilevel"/>
    <w:tmpl w:val="7EE4895A"/>
    <w:lvl w:ilvl="0" w:tplc="522CEA8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51950A55"/>
    <w:multiLevelType w:val="hybridMultilevel"/>
    <w:tmpl w:val="5E9C062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7EB2AF5"/>
    <w:multiLevelType w:val="hybridMultilevel"/>
    <w:tmpl w:val="C8A604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39E7B01"/>
    <w:multiLevelType w:val="hybridMultilevel"/>
    <w:tmpl w:val="9CC830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5D85253"/>
    <w:multiLevelType w:val="hybridMultilevel"/>
    <w:tmpl w:val="7794D3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FF243C0"/>
    <w:multiLevelType w:val="hybridMultilevel"/>
    <w:tmpl w:val="E41209E8"/>
    <w:lvl w:ilvl="0" w:tplc="9F70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
  </w:num>
  <w:num w:numId="2">
    <w:abstractNumId w:val="3"/>
  </w:num>
  <w:num w:numId="3">
    <w:abstractNumId w:val="1"/>
  </w:num>
  <w:num w:numId="4">
    <w:abstractNumId w:val="8"/>
  </w:num>
  <w:num w:numId="5">
    <w:abstractNumId w:val="0"/>
  </w:num>
  <w:num w:numId="6">
    <w:abstractNumId w:val="9"/>
  </w:num>
  <w:num w:numId="7">
    <w:abstractNumId w:val="6"/>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0C7"/>
    <w:rsid w:val="000006F2"/>
    <w:rsid w:val="0000401F"/>
    <w:rsid w:val="000040AA"/>
    <w:rsid w:val="000071A3"/>
    <w:rsid w:val="000075D7"/>
    <w:rsid w:val="000105C5"/>
    <w:rsid w:val="00013EC3"/>
    <w:rsid w:val="0001628B"/>
    <w:rsid w:val="0001665C"/>
    <w:rsid w:val="00016FE3"/>
    <w:rsid w:val="000219D2"/>
    <w:rsid w:val="000238F5"/>
    <w:rsid w:val="00026EBD"/>
    <w:rsid w:val="00030106"/>
    <w:rsid w:val="000349A0"/>
    <w:rsid w:val="00035B20"/>
    <w:rsid w:val="000378B4"/>
    <w:rsid w:val="00041E7F"/>
    <w:rsid w:val="00043301"/>
    <w:rsid w:val="00044018"/>
    <w:rsid w:val="00062239"/>
    <w:rsid w:val="000667A0"/>
    <w:rsid w:val="00067381"/>
    <w:rsid w:val="000728F0"/>
    <w:rsid w:val="0007379D"/>
    <w:rsid w:val="0007561D"/>
    <w:rsid w:val="00082125"/>
    <w:rsid w:val="00086C79"/>
    <w:rsid w:val="00090BF6"/>
    <w:rsid w:val="00096619"/>
    <w:rsid w:val="000A773A"/>
    <w:rsid w:val="000B551A"/>
    <w:rsid w:val="000B77A8"/>
    <w:rsid w:val="000C0C34"/>
    <w:rsid w:val="000C3E56"/>
    <w:rsid w:val="000D1D50"/>
    <w:rsid w:val="000D77D0"/>
    <w:rsid w:val="000D7EB4"/>
    <w:rsid w:val="000E03B4"/>
    <w:rsid w:val="000E1026"/>
    <w:rsid w:val="000E15EA"/>
    <w:rsid w:val="000F1918"/>
    <w:rsid w:val="000F5740"/>
    <w:rsid w:val="00102C26"/>
    <w:rsid w:val="0010561F"/>
    <w:rsid w:val="00107B29"/>
    <w:rsid w:val="00110506"/>
    <w:rsid w:val="0011115B"/>
    <w:rsid w:val="00114F97"/>
    <w:rsid w:val="00130137"/>
    <w:rsid w:val="00133773"/>
    <w:rsid w:val="00140E8E"/>
    <w:rsid w:val="0014188A"/>
    <w:rsid w:val="00141C7B"/>
    <w:rsid w:val="001420BC"/>
    <w:rsid w:val="00143823"/>
    <w:rsid w:val="00146E64"/>
    <w:rsid w:val="00154D4B"/>
    <w:rsid w:val="0016148C"/>
    <w:rsid w:val="0016481B"/>
    <w:rsid w:val="001727E6"/>
    <w:rsid w:val="0017412F"/>
    <w:rsid w:val="00175E69"/>
    <w:rsid w:val="00183D39"/>
    <w:rsid w:val="001846E3"/>
    <w:rsid w:val="00187110"/>
    <w:rsid w:val="001A1A82"/>
    <w:rsid w:val="001A2F72"/>
    <w:rsid w:val="001A4355"/>
    <w:rsid w:val="001A4A4A"/>
    <w:rsid w:val="001A531A"/>
    <w:rsid w:val="001A5F24"/>
    <w:rsid w:val="001B085E"/>
    <w:rsid w:val="001C0474"/>
    <w:rsid w:val="001C09BE"/>
    <w:rsid w:val="001C1A7B"/>
    <w:rsid w:val="001C1B40"/>
    <w:rsid w:val="001C5046"/>
    <w:rsid w:val="001D3C3F"/>
    <w:rsid w:val="001D561B"/>
    <w:rsid w:val="001D6BEA"/>
    <w:rsid w:val="001E43CA"/>
    <w:rsid w:val="001E61AE"/>
    <w:rsid w:val="001F1753"/>
    <w:rsid w:val="001F63AF"/>
    <w:rsid w:val="002031A5"/>
    <w:rsid w:val="002039BE"/>
    <w:rsid w:val="00204C4D"/>
    <w:rsid w:val="00215ADA"/>
    <w:rsid w:val="0022116B"/>
    <w:rsid w:val="0022119B"/>
    <w:rsid w:val="00221A0A"/>
    <w:rsid w:val="00221EA0"/>
    <w:rsid w:val="00224E5C"/>
    <w:rsid w:val="00226A12"/>
    <w:rsid w:val="002332F7"/>
    <w:rsid w:val="002345B7"/>
    <w:rsid w:val="002432F4"/>
    <w:rsid w:val="00243BB2"/>
    <w:rsid w:val="00243CCA"/>
    <w:rsid w:val="00244B14"/>
    <w:rsid w:val="00245299"/>
    <w:rsid w:val="002460AB"/>
    <w:rsid w:val="002468A5"/>
    <w:rsid w:val="0025659F"/>
    <w:rsid w:val="00266818"/>
    <w:rsid w:val="00266A0A"/>
    <w:rsid w:val="00270509"/>
    <w:rsid w:val="00270926"/>
    <w:rsid w:val="0027357C"/>
    <w:rsid w:val="002821E6"/>
    <w:rsid w:val="00283999"/>
    <w:rsid w:val="002841E0"/>
    <w:rsid w:val="002911EB"/>
    <w:rsid w:val="00291289"/>
    <w:rsid w:val="0029214A"/>
    <w:rsid w:val="00293294"/>
    <w:rsid w:val="00297EFE"/>
    <w:rsid w:val="002A12C0"/>
    <w:rsid w:val="002B27F7"/>
    <w:rsid w:val="002B3A32"/>
    <w:rsid w:val="002C1FD4"/>
    <w:rsid w:val="002C390F"/>
    <w:rsid w:val="002C400D"/>
    <w:rsid w:val="002C7F83"/>
    <w:rsid w:val="002D0CA4"/>
    <w:rsid w:val="002D1226"/>
    <w:rsid w:val="002D3A89"/>
    <w:rsid w:val="002D400C"/>
    <w:rsid w:val="002D4508"/>
    <w:rsid w:val="002D5215"/>
    <w:rsid w:val="002D68CA"/>
    <w:rsid w:val="002E2A4E"/>
    <w:rsid w:val="002E5C09"/>
    <w:rsid w:val="002E5FA5"/>
    <w:rsid w:val="002F680A"/>
    <w:rsid w:val="002F6DA3"/>
    <w:rsid w:val="00304A9B"/>
    <w:rsid w:val="00305262"/>
    <w:rsid w:val="00305598"/>
    <w:rsid w:val="003121E8"/>
    <w:rsid w:val="00315608"/>
    <w:rsid w:val="003232FD"/>
    <w:rsid w:val="00323B98"/>
    <w:rsid w:val="003407F5"/>
    <w:rsid w:val="003436F9"/>
    <w:rsid w:val="00344392"/>
    <w:rsid w:val="00346C1D"/>
    <w:rsid w:val="00351319"/>
    <w:rsid w:val="00353F40"/>
    <w:rsid w:val="003569BC"/>
    <w:rsid w:val="0036102D"/>
    <w:rsid w:val="00366E79"/>
    <w:rsid w:val="00370D1F"/>
    <w:rsid w:val="00373BDF"/>
    <w:rsid w:val="00375C1F"/>
    <w:rsid w:val="003777F8"/>
    <w:rsid w:val="00380C59"/>
    <w:rsid w:val="003819A7"/>
    <w:rsid w:val="0038444A"/>
    <w:rsid w:val="00385415"/>
    <w:rsid w:val="00386882"/>
    <w:rsid w:val="0039612A"/>
    <w:rsid w:val="003A7B7F"/>
    <w:rsid w:val="003B00D9"/>
    <w:rsid w:val="003B5A41"/>
    <w:rsid w:val="003B7A1C"/>
    <w:rsid w:val="003C2BB2"/>
    <w:rsid w:val="003C2FA9"/>
    <w:rsid w:val="003C68D8"/>
    <w:rsid w:val="003C6D51"/>
    <w:rsid w:val="003D341D"/>
    <w:rsid w:val="003D65D8"/>
    <w:rsid w:val="003D6D2D"/>
    <w:rsid w:val="003E0CD1"/>
    <w:rsid w:val="003E3FC5"/>
    <w:rsid w:val="003F0C45"/>
    <w:rsid w:val="003F20C2"/>
    <w:rsid w:val="003F50C7"/>
    <w:rsid w:val="00401308"/>
    <w:rsid w:val="0040492A"/>
    <w:rsid w:val="0040533B"/>
    <w:rsid w:val="00407A9E"/>
    <w:rsid w:val="00410800"/>
    <w:rsid w:val="004133E7"/>
    <w:rsid w:val="0041532B"/>
    <w:rsid w:val="00431248"/>
    <w:rsid w:val="00437119"/>
    <w:rsid w:val="00440EA6"/>
    <w:rsid w:val="004429E2"/>
    <w:rsid w:val="00447F02"/>
    <w:rsid w:val="004508BD"/>
    <w:rsid w:val="00451BDD"/>
    <w:rsid w:val="004525CE"/>
    <w:rsid w:val="0046178B"/>
    <w:rsid w:val="00461C3B"/>
    <w:rsid w:val="00463B9B"/>
    <w:rsid w:val="00472B66"/>
    <w:rsid w:val="00475DC1"/>
    <w:rsid w:val="0047698F"/>
    <w:rsid w:val="0048207C"/>
    <w:rsid w:val="00493081"/>
    <w:rsid w:val="00494A65"/>
    <w:rsid w:val="004A3B56"/>
    <w:rsid w:val="004A6EF7"/>
    <w:rsid w:val="004B1483"/>
    <w:rsid w:val="004B19BA"/>
    <w:rsid w:val="004B6C38"/>
    <w:rsid w:val="004C3FB8"/>
    <w:rsid w:val="004C66CA"/>
    <w:rsid w:val="004C7981"/>
    <w:rsid w:val="004D7B3B"/>
    <w:rsid w:val="004E30F0"/>
    <w:rsid w:val="004F0F02"/>
    <w:rsid w:val="004F1154"/>
    <w:rsid w:val="004F36C0"/>
    <w:rsid w:val="004F507D"/>
    <w:rsid w:val="004F5B18"/>
    <w:rsid w:val="004F6CCA"/>
    <w:rsid w:val="005027CD"/>
    <w:rsid w:val="00512D65"/>
    <w:rsid w:val="005156CE"/>
    <w:rsid w:val="0051681A"/>
    <w:rsid w:val="00525633"/>
    <w:rsid w:val="005257E0"/>
    <w:rsid w:val="00530E10"/>
    <w:rsid w:val="00532396"/>
    <w:rsid w:val="00534401"/>
    <w:rsid w:val="0054065F"/>
    <w:rsid w:val="00540DCC"/>
    <w:rsid w:val="005417F5"/>
    <w:rsid w:val="0054404B"/>
    <w:rsid w:val="005446B0"/>
    <w:rsid w:val="00550BF0"/>
    <w:rsid w:val="00552E02"/>
    <w:rsid w:val="00563022"/>
    <w:rsid w:val="00567560"/>
    <w:rsid w:val="00567D91"/>
    <w:rsid w:val="00571144"/>
    <w:rsid w:val="00571384"/>
    <w:rsid w:val="00573748"/>
    <w:rsid w:val="00576914"/>
    <w:rsid w:val="0058123C"/>
    <w:rsid w:val="00583BB5"/>
    <w:rsid w:val="0059291C"/>
    <w:rsid w:val="005960B7"/>
    <w:rsid w:val="005A0252"/>
    <w:rsid w:val="005A1DB0"/>
    <w:rsid w:val="005A4138"/>
    <w:rsid w:val="005A6DE6"/>
    <w:rsid w:val="005B41C7"/>
    <w:rsid w:val="005B42B9"/>
    <w:rsid w:val="005B6081"/>
    <w:rsid w:val="005C2A4E"/>
    <w:rsid w:val="005C64CB"/>
    <w:rsid w:val="005C7FBE"/>
    <w:rsid w:val="005D269F"/>
    <w:rsid w:val="005D4B63"/>
    <w:rsid w:val="005E38C6"/>
    <w:rsid w:val="005E49C1"/>
    <w:rsid w:val="005E5705"/>
    <w:rsid w:val="005F1C77"/>
    <w:rsid w:val="005F2583"/>
    <w:rsid w:val="005F6924"/>
    <w:rsid w:val="005F77C8"/>
    <w:rsid w:val="00600152"/>
    <w:rsid w:val="00601514"/>
    <w:rsid w:val="00602A5E"/>
    <w:rsid w:val="006044B4"/>
    <w:rsid w:val="00606F75"/>
    <w:rsid w:val="00607973"/>
    <w:rsid w:val="00611629"/>
    <w:rsid w:val="00612333"/>
    <w:rsid w:val="00612420"/>
    <w:rsid w:val="006336F0"/>
    <w:rsid w:val="0064344D"/>
    <w:rsid w:val="0064547D"/>
    <w:rsid w:val="0065123A"/>
    <w:rsid w:val="0065597C"/>
    <w:rsid w:val="00665449"/>
    <w:rsid w:val="0067659B"/>
    <w:rsid w:val="006904EB"/>
    <w:rsid w:val="006A2141"/>
    <w:rsid w:val="006A3AE5"/>
    <w:rsid w:val="006A721E"/>
    <w:rsid w:val="006A7334"/>
    <w:rsid w:val="006A7B72"/>
    <w:rsid w:val="006B4943"/>
    <w:rsid w:val="006C0211"/>
    <w:rsid w:val="006C1443"/>
    <w:rsid w:val="006C30AC"/>
    <w:rsid w:val="006C55E4"/>
    <w:rsid w:val="006C571D"/>
    <w:rsid w:val="006C5F2A"/>
    <w:rsid w:val="006C5FAD"/>
    <w:rsid w:val="006C778F"/>
    <w:rsid w:val="006D13E4"/>
    <w:rsid w:val="006D2B95"/>
    <w:rsid w:val="006D2DB6"/>
    <w:rsid w:val="006D3DA0"/>
    <w:rsid w:val="006D4372"/>
    <w:rsid w:val="006E3860"/>
    <w:rsid w:val="006E3A89"/>
    <w:rsid w:val="006E5367"/>
    <w:rsid w:val="006E7851"/>
    <w:rsid w:val="006F32D9"/>
    <w:rsid w:val="006F635D"/>
    <w:rsid w:val="007016BB"/>
    <w:rsid w:val="00701C64"/>
    <w:rsid w:val="007173E1"/>
    <w:rsid w:val="00724896"/>
    <w:rsid w:val="007256A1"/>
    <w:rsid w:val="007439F4"/>
    <w:rsid w:val="00746A11"/>
    <w:rsid w:val="0075214B"/>
    <w:rsid w:val="00766D37"/>
    <w:rsid w:val="00770A85"/>
    <w:rsid w:val="0077133E"/>
    <w:rsid w:val="0077683B"/>
    <w:rsid w:val="00777035"/>
    <w:rsid w:val="00782D07"/>
    <w:rsid w:val="007850BE"/>
    <w:rsid w:val="00791945"/>
    <w:rsid w:val="0079439B"/>
    <w:rsid w:val="00797D4E"/>
    <w:rsid w:val="007A1107"/>
    <w:rsid w:val="007A1622"/>
    <w:rsid w:val="007A1933"/>
    <w:rsid w:val="007B26BB"/>
    <w:rsid w:val="007B68A4"/>
    <w:rsid w:val="007D1786"/>
    <w:rsid w:val="007E06CB"/>
    <w:rsid w:val="007E106C"/>
    <w:rsid w:val="007E2128"/>
    <w:rsid w:val="007E3757"/>
    <w:rsid w:val="007E76F5"/>
    <w:rsid w:val="007F440D"/>
    <w:rsid w:val="007F4C83"/>
    <w:rsid w:val="00803309"/>
    <w:rsid w:val="00810B1E"/>
    <w:rsid w:val="00816772"/>
    <w:rsid w:val="00817263"/>
    <w:rsid w:val="00825DA1"/>
    <w:rsid w:val="00832EC2"/>
    <w:rsid w:val="00832F08"/>
    <w:rsid w:val="00833C2B"/>
    <w:rsid w:val="00841785"/>
    <w:rsid w:val="00844414"/>
    <w:rsid w:val="0084664F"/>
    <w:rsid w:val="00851066"/>
    <w:rsid w:val="0085239C"/>
    <w:rsid w:val="00853BC2"/>
    <w:rsid w:val="0085631A"/>
    <w:rsid w:val="008563D2"/>
    <w:rsid w:val="00856D77"/>
    <w:rsid w:val="00863508"/>
    <w:rsid w:val="0086662F"/>
    <w:rsid w:val="008678A5"/>
    <w:rsid w:val="00875834"/>
    <w:rsid w:val="00877A8D"/>
    <w:rsid w:val="008802DF"/>
    <w:rsid w:val="00881769"/>
    <w:rsid w:val="008830C6"/>
    <w:rsid w:val="00892254"/>
    <w:rsid w:val="00892A6C"/>
    <w:rsid w:val="00893059"/>
    <w:rsid w:val="00894F80"/>
    <w:rsid w:val="008B120A"/>
    <w:rsid w:val="008B278A"/>
    <w:rsid w:val="008B2F9B"/>
    <w:rsid w:val="008B36F4"/>
    <w:rsid w:val="008C233C"/>
    <w:rsid w:val="008C2418"/>
    <w:rsid w:val="008C2CB2"/>
    <w:rsid w:val="008C3B05"/>
    <w:rsid w:val="008C5424"/>
    <w:rsid w:val="008C61B6"/>
    <w:rsid w:val="008D1E8D"/>
    <w:rsid w:val="008D22E7"/>
    <w:rsid w:val="008D4104"/>
    <w:rsid w:val="008D4DDC"/>
    <w:rsid w:val="008E1EFF"/>
    <w:rsid w:val="008E55C7"/>
    <w:rsid w:val="008E64F5"/>
    <w:rsid w:val="008E7541"/>
    <w:rsid w:val="008F0873"/>
    <w:rsid w:val="008F50B8"/>
    <w:rsid w:val="008F6BE0"/>
    <w:rsid w:val="008F71EA"/>
    <w:rsid w:val="008F7208"/>
    <w:rsid w:val="009011D6"/>
    <w:rsid w:val="0090354F"/>
    <w:rsid w:val="00906BAF"/>
    <w:rsid w:val="00910EBB"/>
    <w:rsid w:val="009141D6"/>
    <w:rsid w:val="0091696C"/>
    <w:rsid w:val="00930905"/>
    <w:rsid w:val="009321AB"/>
    <w:rsid w:val="00934983"/>
    <w:rsid w:val="00950A89"/>
    <w:rsid w:val="00954A02"/>
    <w:rsid w:val="00954C15"/>
    <w:rsid w:val="00957DD9"/>
    <w:rsid w:val="00962F7C"/>
    <w:rsid w:val="00965435"/>
    <w:rsid w:val="00971AA1"/>
    <w:rsid w:val="00972740"/>
    <w:rsid w:val="00976868"/>
    <w:rsid w:val="00977EF3"/>
    <w:rsid w:val="00980571"/>
    <w:rsid w:val="00995EA9"/>
    <w:rsid w:val="009A26ED"/>
    <w:rsid w:val="009A2BF3"/>
    <w:rsid w:val="009A4FD1"/>
    <w:rsid w:val="009A6593"/>
    <w:rsid w:val="009A68AF"/>
    <w:rsid w:val="009B497A"/>
    <w:rsid w:val="009B63A5"/>
    <w:rsid w:val="009B77BF"/>
    <w:rsid w:val="009C16CF"/>
    <w:rsid w:val="009D394F"/>
    <w:rsid w:val="009D53DA"/>
    <w:rsid w:val="009D6181"/>
    <w:rsid w:val="009D64D4"/>
    <w:rsid w:val="009E1A77"/>
    <w:rsid w:val="009E29DE"/>
    <w:rsid w:val="009E43DA"/>
    <w:rsid w:val="009E4D40"/>
    <w:rsid w:val="009E798B"/>
    <w:rsid w:val="009F0970"/>
    <w:rsid w:val="00A04BBD"/>
    <w:rsid w:val="00A11954"/>
    <w:rsid w:val="00A14456"/>
    <w:rsid w:val="00A15F8E"/>
    <w:rsid w:val="00A16154"/>
    <w:rsid w:val="00A16756"/>
    <w:rsid w:val="00A334BD"/>
    <w:rsid w:val="00A34FB4"/>
    <w:rsid w:val="00A35DD0"/>
    <w:rsid w:val="00A36222"/>
    <w:rsid w:val="00A3726E"/>
    <w:rsid w:val="00A40C0C"/>
    <w:rsid w:val="00A43C77"/>
    <w:rsid w:val="00A460C5"/>
    <w:rsid w:val="00A461F8"/>
    <w:rsid w:val="00A468EE"/>
    <w:rsid w:val="00A53DD7"/>
    <w:rsid w:val="00A57469"/>
    <w:rsid w:val="00A60C18"/>
    <w:rsid w:val="00A62C8C"/>
    <w:rsid w:val="00A775C7"/>
    <w:rsid w:val="00A777D1"/>
    <w:rsid w:val="00A85567"/>
    <w:rsid w:val="00A86F0B"/>
    <w:rsid w:val="00A87725"/>
    <w:rsid w:val="00A91D74"/>
    <w:rsid w:val="00A92F4B"/>
    <w:rsid w:val="00AA562B"/>
    <w:rsid w:val="00AB10B2"/>
    <w:rsid w:val="00AB7C77"/>
    <w:rsid w:val="00AC148D"/>
    <w:rsid w:val="00AC2266"/>
    <w:rsid w:val="00AC415B"/>
    <w:rsid w:val="00AD2D82"/>
    <w:rsid w:val="00AD2D98"/>
    <w:rsid w:val="00AD549C"/>
    <w:rsid w:val="00AE0D92"/>
    <w:rsid w:val="00AE0F50"/>
    <w:rsid w:val="00AE3D64"/>
    <w:rsid w:val="00AF0519"/>
    <w:rsid w:val="00AF677C"/>
    <w:rsid w:val="00B03ABF"/>
    <w:rsid w:val="00B0757F"/>
    <w:rsid w:val="00B121AD"/>
    <w:rsid w:val="00B12DD6"/>
    <w:rsid w:val="00B14CAF"/>
    <w:rsid w:val="00B2102D"/>
    <w:rsid w:val="00B25AD1"/>
    <w:rsid w:val="00B31446"/>
    <w:rsid w:val="00B315E9"/>
    <w:rsid w:val="00B32DB6"/>
    <w:rsid w:val="00B359A3"/>
    <w:rsid w:val="00B35CD1"/>
    <w:rsid w:val="00B36E57"/>
    <w:rsid w:val="00B378D6"/>
    <w:rsid w:val="00B40FB9"/>
    <w:rsid w:val="00B41666"/>
    <w:rsid w:val="00B41F90"/>
    <w:rsid w:val="00B42FB5"/>
    <w:rsid w:val="00B50B7A"/>
    <w:rsid w:val="00B538A2"/>
    <w:rsid w:val="00B54638"/>
    <w:rsid w:val="00B6020C"/>
    <w:rsid w:val="00B60C15"/>
    <w:rsid w:val="00B6292C"/>
    <w:rsid w:val="00B64296"/>
    <w:rsid w:val="00B77457"/>
    <w:rsid w:val="00B82D4D"/>
    <w:rsid w:val="00B84F87"/>
    <w:rsid w:val="00B86E3F"/>
    <w:rsid w:val="00B964EF"/>
    <w:rsid w:val="00B97CAE"/>
    <w:rsid w:val="00BA2722"/>
    <w:rsid w:val="00BB0D9B"/>
    <w:rsid w:val="00BB1121"/>
    <w:rsid w:val="00BB1686"/>
    <w:rsid w:val="00BB5E21"/>
    <w:rsid w:val="00BB755B"/>
    <w:rsid w:val="00BC09FB"/>
    <w:rsid w:val="00BC71DC"/>
    <w:rsid w:val="00BD2069"/>
    <w:rsid w:val="00BD4AA4"/>
    <w:rsid w:val="00BE08A6"/>
    <w:rsid w:val="00BE118C"/>
    <w:rsid w:val="00BE150A"/>
    <w:rsid w:val="00BE43CF"/>
    <w:rsid w:val="00BE780C"/>
    <w:rsid w:val="00BE7B22"/>
    <w:rsid w:val="00C016C3"/>
    <w:rsid w:val="00C027D9"/>
    <w:rsid w:val="00C06A69"/>
    <w:rsid w:val="00C10F5F"/>
    <w:rsid w:val="00C12B3D"/>
    <w:rsid w:val="00C1375E"/>
    <w:rsid w:val="00C1397E"/>
    <w:rsid w:val="00C15713"/>
    <w:rsid w:val="00C213DD"/>
    <w:rsid w:val="00C2184D"/>
    <w:rsid w:val="00C336FC"/>
    <w:rsid w:val="00C33CC2"/>
    <w:rsid w:val="00C34AD3"/>
    <w:rsid w:val="00C34DE1"/>
    <w:rsid w:val="00C35509"/>
    <w:rsid w:val="00C43842"/>
    <w:rsid w:val="00C44235"/>
    <w:rsid w:val="00C44A1A"/>
    <w:rsid w:val="00C47E66"/>
    <w:rsid w:val="00C5015C"/>
    <w:rsid w:val="00C50A68"/>
    <w:rsid w:val="00C56CD1"/>
    <w:rsid w:val="00C62EEA"/>
    <w:rsid w:val="00C73FBD"/>
    <w:rsid w:val="00C75610"/>
    <w:rsid w:val="00C77EB9"/>
    <w:rsid w:val="00C80D04"/>
    <w:rsid w:val="00C829C7"/>
    <w:rsid w:val="00C82B87"/>
    <w:rsid w:val="00C843E4"/>
    <w:rsid w:val="00C91788"/>
    <w:rsid w:val="00C93012"/>
    <w:rsid w:val="00C93912"/>
    <w:rsid w:val="00C94386"/>
    <w:rsid w:val="00C95904"/>
    <w:rsid w:val="00CA1711"/>
    <w:rsid w:val="00CA7822"/>
    <w:rsid w:val="00CA7E99"/>
    <w:rsid w:val="00CB4628"/>
    <w:rsid w:val="00CB4D13"/>
    <w:rsid w:val="00CB5704"/>
    <w:rsid w:val="00CB5C9C"/>
    <w:rsid w:val="00CC1431"/>
    <w:rsid w:val="00CC647E"/>
    <w:rsid w:val="00CC73F0"/>
    <w:rsid w:val="00CC7E2B"/>
    <w:rsid w:val="00CD0AA1"/>
    <w:rsid w:val="00CE278A"/>
    <w:rsid w:val="00CE2C75"/>
    <w:rsid w:val="00CF29A8"/>
    <w:rsid w:val="00D01C96"/>
    <w:rsid w:val="00D03954"/>
    <w:rsid w:val="00D10283"/>
    <w:rsid w:val="00D1326D"/>
    <w:rsid w:val="00D145F4"/>
    <w:rsid w:val="00D2278F"/>
    <w:rsid w:val="00D33827"/>
    <w:rsid w:val="00D33AB2"/>
    <w:rsid w:val="00D350DC"/>
    <w:rsid w:val="00D4099C"/>
    <w:rsid w:val="00D42AD1"/>
    <w:rsid w:val="00D47EDD"/>
    <w:rsid w:val="00D50DC8"/>
    <w:rsid w:val="00D53E05"/>
    <w:rsid w:val="00D55E20"/>
    <w:rsid w:val="00D56318"/>
    <w:rsid w:val="00D56B03"/>
    <w:rsid w:val="00D609ED"/>
    <w:rsid w:val="00D62593"/>
    <w:rsid w:val="00D649BB"/>
    <w:rsid w:val="00D64CFA"/>
    <w:rsid w:val="00D64E19"/>
    <w:rsid w:val="00D67A8C"/>
    <w:rsid w:val="00D7131B"/>
    <w:rsid w:val="00D73229"/>
    <w:rsid w:val="00D74602"/>
    <w:rsid w:val="00D80FDB"/>
    <w:rsid w:val="00D929A4"/>
    <w:rsid w:val="00D96D1E"/>
    <w:rsid w:val="00DA3EEC"/>
    <w:rsid w:val="00DA62FF"/>
    <w:rsid w:val="00DB1ADD"/>
    <w:rsid w:val="00DB4D72"/>
    <w:rsid w:val="00DC5DE7"/>
    <w:rsid w:val="00DC603A"/>
    <w:rsid w:val="00DC60BA"/>
    <w:rsid w:val="00DC7103"/>
    <w:rsid w:val="00DC749D"/>
    <w:rsid w:val="00DD35CB"/>
    <w:rsid w:val="00DD3841"/>
    <w:rsid w:val="00DD6F35"/>
    <w:rsid w:val="00DE0D6C"/>
    <w:rsid w:val="00DE1524"/>
    <w:rsid w:val="00DE5260"/>
    <w:rsid w:val="00DE6122"/>
    <w:rsid w:val="00DF21F7"/>
    <w:rsid w:val="00DF529B"/>
    <w:rsid w:val="00DF7B3D"/>
    <w:rsid w:val="00E06024"/>
    <w:rsid w:val="00E0683E"/>
    <w:rsid w:val="00E24C42"/>
    <w:rsid w:val="00E24DB5"/>
    <w:rsid w:val="00E3198D"/>
    <w:rsid w:val="00E31A30"/>
    <w:rsid w:val="00E34915"/>
    <w:rsid w:val="00E40144"/>
    <w:rsid w:val="00E40C85"/>
    <w:rsid w:val="00E45CE9"/>
    <w:rsid w:val="00E55A1A"/>
    <w:rsid w:val="00E63077"/>
    <w:rsid w:val="00E64DD2"/>
    <w:rsid w:val="00E67FC9"/>
    <w:rsid w:val="00E704E5"/>
    <w:rsid w:val="00E77DC5"/>
    <w:rsid w:val="00E82E4E"/>
    <w:rsid w:val="00E85641"/>
    <w:rsid w:val="00E857D3"/>
    <w:rsid w:val="00E86CEA"/>
    <w:rsid w:val="00E93223"/>
    <w:rsid w:val="00E94906"/>
    <w:rsid w:val="00E95A5B"/>
    <w:rsid w:val="00E95CD7"/>
    <w:rsid w:val="00E96440"/>
    <w:rsid w:val="00EA2215"/>
    <w:rsid w:val="00EA4770"/>
    <w:rsid w:val="00EB4E05"/>
    <w:rsid w:val="00EB6835"/>
    <w:rsid w:val="00ED1F05"/>
    <w:rsid w:val="00ED7F6F"/>
    <w:rsid w:val="00EE05FB"/>
    <w:rsid w:val="00EE2CD0"/>
    <w:rsid w:val="00EE2D2F"/>
    <w:rsid w:val="00EE47BA"/>
    <w:rsid w:val="00EE4CAA"/>
    <w:rsid w:val="00EE67B3"/>
    <w:rsid w:val="00EF2048"/>
    <w:rsid w:val="00EF300A"/>
    <w:rsid w:val="00EF3A51"/>
    <w:rsid w:val="00F03B49"/>
    <w:rsid w:val="00F07A61"/>
    <w:rsid w:val="00F07BD1"/>
    <w:rsid w:val="00F15A2A"/>
    <w:rsid w:val="00F208E2"/>
    <w:rsid w:val="00F20967"/>
    <w:rsid w:val="00F2219D"/>
    <w:rsid w:val="00F249C6"/>
    <w:rsid w:val="00F25E4B"/>
    <w:rsid w:val="00F26730"/>
    <w:rsid w:val="00F27510"/>
    <w:rsid w:val="00F36167"/>
    <w:rsid w:val="00F53A4E"/>
    <w:rsid w:val="00F61340"/>
    <w:rsid w:val="00F6150C"/>
    <w:rsid w:val="00F63C04"/>
    <w:rsid w:val="00F72EB3"/>
    <w:rsid w:val="00F7770D"/>
    <w:rsid w:val="00F91509"/>
    <w:rsid w:val="00F9382F"/>
    <w:rsid w:val="00F94B1B"/>
    <w:rsid w:val="00F94FA1"/>
    <w:rsid w:val="00F97F25"/>
    <w:rsid w:val="00FA1386"/>
    <w:rsid w:val="00FA53F1"/>
    <w:rsid w:val="00FA69DF"/>
    <w:rsid w:val="00FB1599"/>
    <w:rsid w:val="00FC2717"/>
    <w:rsid w:val="00FC284A"/>
    <w:rsid w:val="00FC2C65"/>
    <w:rsid w:val="00FC7BF8"/>
    <w:rsid w:val="00FD081F"/>
    <w:rsid w:val="00FD0F7A"/>
    <w:rsid w:val="00FD4D5A"/>
    <w:rsid w:val="00FE3829"/>
    <w:rsid w:val="00FE3972"/>
    <w:rsid w:val="00FF56CF"/>
    <w:rsid w:val="00FF573D"/>
    <w:rsid w:val="00FF59B8"/>
    <w:rsid w:val="00FF5A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pPr>
      <w:spacing w:after="200" w:line="276" w:lineRule="auto"/>
    </w:pPr>
    <w:rPr>
      <w:sz w:val="22"/>
      <w:szCs w:val="22"/>
    </w:rPr>
  </w:style>
  <w:style w:type="paragraph" w:styleId="Heading3">
    <w:name w:val="heading 3"/>
    <w:basedOn w:val="Normal"/>
    <w:link w:val="Heading3Char"/>
    <w:uiPriority w:val="9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6C5FAD"/>
    <w:rPr>
      <w:rFonts w:ascii="Times New Roman" w:hAnsi="Times New Roman" w:cs="Times New Roman"/>
      <w:b/>
      <w:bCs/>
      <w:sz w:val="27"/>
      <w:szCs w:val="27"/>
    </w:rPr>
  </w:style>
  <w:style w:type="character" w:customStyle="1" w:styleId="apple-converted-space">
    <w:name w:val="apple-converted-space"/>
    <w:uiPriority w:val="99"/>
    <w:rsid w:val="00013EC3"/>
    <w:rPr>
      <w:rFonts w:cs="Times New Roman"/>
    </w:rPr>
  </w:style>
  <w:style w:type="character" w:styleId="CommentReference">
    <w:name w:val="annotation reference"/>
    <w:uiPriority w:val="99"/>
    <w:semiHidden/>
    <w:rsid w:val="00ED1F05"/>
    <w:rPr>
      <w:rFonts w:cs="Times New Roman"/>
      <w:sz w:val="16"/>
      <w:szCs w:val="16"/>
    </w:rPr>
  </w:style>
  <w:style w:type="paragraph" w:styleId="CommentText">
    <w:name w:val="annotation text"/>
    <w:basedOn w:val="Normal"/>
    <w:link w:val="CommentTextChar"/>
    <w:uiPriority w:val="99"/>
    <w:semiHidden/>
    <w:rsid w:val="00ED1F05"/>
    <w:pPr>
      <w:spacing w:line="240" w:lineRule="auto"/>
    </w:pPr>
    <w:rPr>
      <w:sz w:val="20"/>
      <w:szCs w:val="20"/>
    </w:rPr>
  </w:style>
  <w:style w:type="character" w:customStyle="1" w:styleId="CommentTextChar">
    <w:name w:val="Comment Text Char"/>
    <w:link w:val="CommentText"/>
    <w:uiPriority w:val="99"/>
    <w:semiHidden/>
    <w:locked/>
    <w:rsid w:val="00ED1F05"/>
    <w:rPr>
      <w:rFonts w:cs="Times New Roman"/>
      <w:sz w:val="20"/>
      <w:szCs w:val="20"/>
    </w:rPr>
  </w:style>
  <w:style w:type="paragraph" w:styleId="CommentSubject">
    <w:name w:val="annotation subject"/>
    <w:basedOn w:val="CommentText"/>
    <w:next w:val="CommentText"/>
    <w:link w:val="CommentSubjectChar"/>
    <w:uiPriority w:val="99"/>
    <w:semiHidden/>
    <w:rsid w:val="00ED1F05"/>
    <w:rPr>
      <w:b/>
      <w:bCs/>
    </w:rPr>
  </w:style>
  <w:style w:type="character" w:customStyle="1" w:styleId="CommentSubjectChar">
    <w:name w:val="Comment Subject Char"/>
    <w:link w:val="CommentSubject"/>
    <w:uiPriority w:val="99"/>
    <w:semiHidden/>
    <w:locked/>
    <w:rsid w:val="00ED1F05"/>
    <w:rPr>
      <w:rFonts w:cs="Times New Roman"/>
      <w:b/>
      <w:bCs/>
      <w:sz w:val="20"/>
      <w:szCs w:val="20"/>
    </w:rPr>
  </w:style>
  <w:style w:type="paragraph" w:styleId="BalloonText">
    <w:name w:val="Balloon Text"/>
    <w:basedOn w:val="Normal"/>
    <w:link w:val="BalloonTextChar"/>
    <w:uiPriority w:val="99"/>
    <w:semiHidden/>
    <w:rsid w:val="00ED1F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D1F05"/>
    <w:rPr>
      <w:rFonts w:ascii="Tahoma" w:hAnsi="Tahoma" w:cs="Tahoma"/>
      <w:sz w:val="16"/>
      <w:szCs w:val="16"/>
    </w:rPr>
  </w:style>
  <w:style w:type="paragraph" w:styleId="FootnoteText">
    <w:name w:val="footnote text"/>
    <w:basedOn w:val="Normal"/>
    <w:link w:val="FootnoteTextChar"/>
    <w:uiPriority w:val="99"/>
    <w:semiHidden/>
    <w:rsid w:val="00F94FA1"/>
    <w:pPr>
      <w:spacing w:after="0" w:line="240" w:lineRule="auto"/>
    </w:pPr>
    <w:rPr>
      <w:sz w:val="20"/>
      <w:szCs w:val="20"/>
    </w:rPr>
  </w:style>
  <w:style w:type="character" w:customStyle="1" w:styleId="FootnoteTextChar">
    <w:name w:val="Footnote Text Char"/>
    <w:link w:val="FootnoteText"/>
    <w:uiPriority w:val="99"/>
    <w:semiHidden/>
    <w:locked/>
    <w:rsid w:val="00F94FA1"/>
    <w:rPr>
      <w:rFonts w:cs="Times New Roman"/>
      <w:sz w:val="20"/>
      <w:szCs w:val="20"/>
    </w:rPr>
  </w:style>
  <w:style w:type="character" w:styleId="FootnoteReference">
    <w:name w:val="footnote reference"/>
    <w:uiPriority w:val="99"/>
    <w:semiHidden/>
    <w:rsid w:val="00F94FA1"/>
    <w:rPr>
      <w:rFonts w:cs="Times New Roman"/>
      <w:vertAlign w:val="superscript"/>
    </w:rPr>
  </w:style>
  <w:style w:type="paragraph" w:styleId="Revision">
    <w:name w:val="Revision"/>
    <w:hidden/>
    <w:uiPriority w:val="99"/>
    <w:semiHidden/>
    <w:rsid w:val="002D0CA4"/>
    <w:rPr>
      <w:sz w:val="22"/>
      <w:szCs w:val="22"/>
    </w:rPr>
  </w:style>
  <w:style w:type="paragraph" w:styleId="ListParagraph">
    <w:name w:val="List Paragraph"/>
    <w:basedOn w:val="Normal"/>
    <w:uiPriority w:val="99"/>
    <w:qFormat/>
    <w:rsid w:val="0064344D"/>
    <w:pPr>
      <w:ind w:left="720"/>
      <w:contextualSpacing/>
    </w:pPr>
  </w:style>
  <w:style w:type="table" w:styleId="TableGrid">
    <w:name w:val="Table Grid"/>
    <w:basedOn w:val="TableNormal"/>
    <w:uiPriority w:val="99"/>
    <w:rsid w:val="001A1A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6C5FAD"/>
    <w:rPr>
      <w:rFonts w:cs="Times New Roman"/>
      <w:i/>
      <w:iCs/>
    </w:rPr>
  </w:style>
  <w:style w:type="character" w:styleId="Hyperlink">
    <w:name w:val="Hyperlink"/>
    <w:uiPriority w:val="99"/>
    <w:rsid w:val="00844414"/>
    <w:rPr>
      <w:rFonts w:cs="Times New Roman"/>
      <w:color w:val="0000FF"/>
      <w:u w:val="single"/>
    </w:rPr>
  </w:style>
  <w:style w:type="character" w:styleId="FollowedHyperlink">
    <w:name w:val="FollowedHyperlink"/>
    <w:uiPriority w:val="99"/>
    <w:semiHidden/>
    <w:rsid w:val="00844414"/>
    <w:rPr>
      <w:rFonts w:cs="Times New Roman"/>
      <w:color w:val="800080"/>
      <w:u w:val="single"/>
    </w:rPr>
  </w:style>
  <w:style w:type="paragraph" w:styleId="HTMLPreformatted">
    <w:name w:val="HTML Preformatted"/>
    <w:basedOn w:val="Normal"/>
    <w:link w:val="HTMLPreformattedChar"/>
    <w:uiPriority w:val="99"/>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locked/>
    <w:rsid w:val="00930905"/>
    <w:rPr>
      <w:rFonts w:ascii="Courier New" w:hAnsi="Courier New" w:cs="Courier New"/>
      <w:sz w:val="20"/>
      <w:szCs w:val="20"/>
    </w:rPr>
  </w:style>
  <w:style w:type="paragraph" w:customStyle="1" w:styleId="CC">
    <w:name w:val="CC"/>
    <w:basedOn w:val="BodyText"/>
    <w:uiPriority w:val="99"/>
    <w:rsid w:val="0058123C"/>
    <w:pPr>
      <w:keepLines/>
      <w:widowControl w:val="0"/>
      <w:autoSpaceDE w:val="0"/>
      <w:autoSpaceDN w:val="0"/>
      <w:spacing w:after="160" w:line="240" w:lineRule="auto"/>
      <w:ind w:left="360" w:hanging="360"/>
    </w:pPr>
    <w:rPr>
      <w:rFonts w:ascii="CG Times" w:hAnsi="CG Times" w:cs="Times New Roman"/>
      <w:b/>
      <w:sz w:val="20"/>
      <w:szCs w:val="20"/>
    </w:rPr>
  </w:style>
  <w:style w:type="paragraph" w:styleId="BodyText">
    <w:name w:val="Body Text"/>
    <w:basedOn w:val="Normal"/>
    <w:link w:val="BodyTextChar"/>
    <w:uiPriority w:val="99"/>
    <w:semiHidden/>
    <w:rsid w:val="0058123C"/>
    <w:pPr>
      <w:spacing w:after="120"/>
    </w:pPr>
  </w:style>
  <w:style w:type="character" w:customStyle="1" w:styleId="BodyTextChar">
    <w:name w:val="Body Text Char"/>
    <w:link w:val="BodyText"/>
    <w:uiPriority w:val="99"/>
    <w:semiHidden/>
    <w:locked/>
    <w:rsid w:val="0058123C"/>
    <w:rPr>
      <w:rFonts w:cs="Times New Roman"/>
    </w:rPr>
  </w:style>
  <w:style w:type="paragraph" w:styleId="Caption">
    <w:name w:val="caption"/>
    <w:basedOn w:val="Normal"/>
    <w:next w:val="Normal"/>
    <w:uiPriority w:val="99"/>
    <w:qFormat/>
    <w:rsid w:val="005A4138"/>
    <w:pPr>
      <w:spacing w:line="240" w:lineRule="auto"/>
    </w:pPr>
    <w:rPr>
      <w:b/>
      <w:bCs/>
      <w:color w:val="4F81BD"/>
      <w:sz w:val="18"/>
      <w:szCs w:val="18"/>
    </w:rPr>
  </w:style>
  <w:style w:type="paragraph" w:customStyle="1" w:styleId="style3">
    <w:name w:val="style3"/>
    <w:basedOn w:val="Normal"/>
    <w:uiPriority w:val="99"/>
    <w:rsid w:val="00AE0D92"/>
    <w:pPr>
      <w:spacing w:after="0"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pPr>
      <w:spacing w:after="200" w:line="276" w:lineRule="auto"/>
    </w:pPr>
    <w:rPr>
      <w:sz w:val="22"/>
      <w:szCs w:val="22"/>
    </w:rPr>
  </w:style>
  <w:style w:type="paragraph" w:styleId="Heading3">
    <w:name w:val="heading 3"/>
    <w:basedOn w:val="Normal"/>
    <w:link w:val="Heading3Char"/>
    <w:uiPriority w:val="9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6C5FAD"/>
    <w:rPr>
      <w:rFonts w:ascii="Times New Roman" w:hAnsi="Times New Roman" w:cs="Times New Roman"/>
      <w:b/>
      <w:bCs/>
      <w:sz w:val="27"/>
      <w:szCs w:val="27"/>
    </w:rPr>
  </w:style>
  <w:style w:type="character" w:customStyle="1" w:styleId="apple-converted-space">
    <w:name w:val="apple-converted-space"/>
    <w:uiPriority w:val="99"/>
    <w:rsid w:val="00013EC3"/>
    <w:rPr>
      <w:rFonts w:cs="Times New Roman"/>
    </w:rPr>
  </w:style>
  <w:style w:type="character" w:styleId="CommentReference">
    <w:name w:val="annotation reference"/>
    <w:uiPriority w:val="99"/>
    <w:semiHidden/>
    <w:rsid w:val="00ED1F05"/>
    <w:rPr>
      <w:rFonts w:cs="Times New Roman"/>
      <w:sz w:val="16"/>
      <w:szCs w:val="16"/>
    </w:rPr>
  </w:style>
  <w:style w:type="paragraph" w:styleId="CommentText">
    <w:name w:val="annotation text"/>
    <w:basedOn w:val="Normal"/>
    <w:link w:val="CommentTextChar"/>
    <w:uiPriority w:val="99"/>
    <w:semiHidden/>
    <w:rsid w:val="00ED1F05"/>
    <w:pPr>
      <w:spacing w:line="240" w:lineRule="auto"/>
    </w:pPr>
    <w:rPr>
      <w:sz w:val="20"/>
      <w:szCs w:val="20"/>
    </w:rPr>
  </w:style>
  <w:style w:type="character" w:customStyle="1" w:styleId="CommentTextChar">
    <w:name w:val="Comment Text Char"/>
    <w:link w:val="CommentText"/>
    <w:uiPriority w:val="99"/>
    <w:semiHidden/>
    <w:locked/>
    <w:rsid w:val="00ED1F05"/>
    <w:rPr>
      <w:rFonts w:cs="Times New Roman"/>
      <w:sz w:val="20"/>
      <w:szCs w:val="20"/>
    </w:rPr>
  </w:style>
  <w:style w:type="paragraph" w:styleId="CommentSubject">
    <w:name w:val="annotation subject"/>
    <w:basedOn w:val="CommentText"/>
    <w:next w:val="CommentText"/>
    <w:link w:val="CommentSubjectChar"/>
    <w:uiPriority w:val="99"/>
    <w:semiHidden/>
    <w:rsid w:val="00ED1F05"/>
    <w:rPr>
      <w:b/>
      <w:bCs/>
    </w:rPr>
  </w:style>
  <w:style w:type="character" w:customStyle="1" w:styleId="CommentSubjectChar">
    <w:name w:val="Comment Subject Char"/>
    <w:link w:val="CommentSubject"/>
    <w:uiPriority w:val="99"/>
    <w:semiHidden/>
    <w:locked/>
    <w:rsid w:val="00ED1F05"/>
    <w:rPr>
      <w:rFonts w:cs="Times New Roman"/>
      <w:b/>
      <w:bCs/>
      <w:sz w:val="20"/>
      <w:szCs w:val="20"/>
    </w:rPr>
  </w:style>
  <w:style w:type="paragraph" w:styleId="BalloonText">
    <w:name w:val="Balloon Text"/>
    <w:basedOn w:val="Normal"/>
    <w:link w:val="BalloonTextChar"/>
    <w:uiPriority w:val="99"/>
    <w:semiHidden/>
    <w:rsid w:val="00ED1F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D1F05"/>
    <w:rPr>
      <w:rFonts w:ascii="Tahoma" w:hAnsi="Tahoma" w:cs="Tahoma"/>
      <w:sz w:val="16"/>
      <w:szCs w:val="16"/>
    </w:rPr>
  </w:style>
  <w:style w:type="paragraph" w:styleId="FootnoteText">
    <w:name w:val="footnote text"/>
    <w:basedOn w:val="Normal"/>
    <w:link w:val="FootnoteTextChar"/>
    <w:uiPriority w:val="99"/>
    <w:semiHidden/>
    <w:rsid w:val="00F94FA1"/>
    <w:pPr>
      <w:spacing w:after="0" w:line="240" w:lineRule="auto"/>
    </w:pPr>
    <w:rPr>
      <w:sz w:val="20"/>
      <w:szCs w:val="20"/>
    </w:rPr>
  </w:style>
  <w:style w:type="character" w:customStyle="1" w:styleId="FootnoteTextChar">
    <w:name w:val="Footnote Text Char"/>
    <w:link w:val="FootnoteText"/>
    <w:uiPriority w:val="99"/>
    <w:semiHidden/>
    <w:locked/>
    <w:rsid w:val="00F94FA1"/>
    <w:rPr>
      <w:rFonts w:cs="Times New Roman"/>
      <w:sz w:val="20"/>
      <w:szCs w:val="20"/>
    </w:rPr>
  </w:style>
  <w:style w:type="character" w:styleId="FootnoteReference">
    <w:name w:val="footnote reference"/>
    <w:uiPriority w:val="99"/>
    <w:semiHidden/>
    <w:rsid w:val="00F94FA1"/>
    <w:rPr>
      <w:rFonts w:cs="Times New Roman"/>
      <w:vertAlign w:val="superscript"/>
    </w:rPr>
  </w:style>
  <w:style w:type="paragraph" w:styleId="Revision">
    <w:name w:val="Revision"/>
    <w:hidden/>
    <w:uiPriority w:val="99"/>
    <w:semiHidden/>
    <w:rsid w:val="002D0CA4"/>
    <w:rPr>
      <w:sz w:val="22"/>
      <w:szCs w:val="22"/>
    </w:rPr>
  </w:style>
  <w:style w:type="paragraph" w:styleId="ListParagraph">
    <w:name w:val="List Paragraph"/>
    <w:basedOn w:val="Normal"/>
    <w:uiPriority w:val="99"/>
    <w:qFormat/>
    <w:rsid w:val="0064344D"/>
    <w:pPr>
      <w:ind w:left="720"/>
      <w:contextualSpacing/>
    </w:pPr>
  </w:style>
  <w:style w:type="table" w:styleId="TableGrid">
    <w:name w:val="Table Grid"/>
    <w:basedOn w:val="TableNormal"/>
    <w:uiPriority w:val="99"/>
    <w:rsid w:val="001A1A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6C5FAD"/>
    <w:rPr>
      <w:rFonts w:cs="Times New Roman"/>
      <w:i/>
      <w:iCs/>
    </w:rPr>
  </w:style>
  <w:style w:type="character" w:styleId="Hyperlink">
    <w:name w:val="Hyperlink"/>
    <w:uiPriority w:val="99"/>
    <w:rsid w:val="00844414"/>
    <w:rPr>
      <w:rFonts w:cs="Times New Roman"/>
      <w:color w:val="0000FF"/>
      <w:u w:val="single"/>
    </w:rPr>
  </w:style>
  <w:style w:type="character" w:styleId="FollowedHyperlink">
    <w:name w:val="FollowedHyperlink"/>
    <w:uiPriority w:val="99"/>
    <w:semiHidden/>
    <w:rsid w:val="00844414"/>
    <w:rPr>
      <w:rFonts w:cs="Times New Roman"/>
      <w:color w:val="800080"/>
      <w:u w:val="single"/>
    </w:rPr>
  </w:style>
  <w:style w:type="paragraph" w:styleId="HTMLPreformatted">
    <w:name w:val="HTML Preformatted"/>
    <w:basedOn w:val="Normal"/>
    <w:link w:val="HTMLPreformattedChar"/>
    <w:uiPriority w:val="99"/>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locked/>
    <w:rsid w:val="00930905"/>
    <w:rPr>
      <w:rFonts w:ascii="Courier New" w:hAnsi="Courier New" w:cs="Courier New"/>
      <w:sz w:val="20"/>
      <w:szCs w:val="20"/>
    </w:rPr>
  </w:style>
  <w:style w:type="paragraph" w:customStyle="1" w:styleId="CC">
    <w:name w:val="CC"/>
    <w:basedOn w:val="BodyText"/>
    <w:uiPriority w:val="99"/>
    <w:rsid w:val="0058123C"/>
    <w:pPr>
      <w:keepLines/>
      <w:widowControl w:val="0"/>
      <w:autoSpaceDE w:val="0"/>
      <w:autoSpaceDN w:val="0"/>
      <w:spacing w:after="160" w:line="240" w:lineRule="auto"/>
      <w:ind w:left="360" w:hanging="360"/>
    </w:pPr>
    <w:rPr>
      <w:rFonts w:ascii="CG Times" w:hAnsi="CG Times" w:cs="Times New Roman"/>
      <w:b/>
      <w:sz w:val="20"/>
      <w:szCs w:val="20"/>
    </w:rPr>
  </w:style>
  <w:style w:type="paragraph" w:styleId="BodyText">
    <w:name w:val="Body Text"/>
    <w:basedOn w:val="Normal"/>
    <w:link w:val="BodyTextChar"/>
    <w:uiPriority w:val="99"/>
    <w:semiHidden/>
    <w:rsid w:val="0058123C"/>
    <w:pPr>
      <w:spacing w:after="120"/>
    </w:pPr>
  </w:style>
  <w:style w:type="character" w:customStyle="1" w:styleId="BodyTextChar">
    <w:name w:val="Body Text Char"/>
    <w:link w:val="BodyText"/>
    <w:uiPriority w:val="99"/>
    <w:semiHidden/>
    <w:locked/>
    <w:rsid w:val="0058123C"/>
    <w:rPr>
      <w:rFonts w:cs="Times New Roman"/>
    </w:rPr>
  </w:style>
  <w:style w:type="paragraph" w:styleId="Caption">
    <w:name w:val="caption"/>
    <w:basedOn w:val="Normal"/>
    <w:next w:val="Normal"/>
    <w:uiPriority w:val="99"/>
    <w:qFormat/>
    <w:rsid w:val="005A4138"/>
    <w:pPr>
      <w:spacing w:line="240" w:lineRule="auto"/>
    </w:pPr>
    <w:rPr>
      <w:b/>
      <w:bCs/>
      <w:color w:val="4F81BD"/>
      <w:sz w:val="18"/>
      <w:szCs w:val="18"/>
    </w:rPr>
  </w:style>
  <w:style w:type="paragraph" w:customStyle="1" w:styleId="style3">
    <w:name w:val="style3"/>
    <w:basedOn w:val="Normal"/>
    <w:uiPriority w:val="99"/>
    <w:rsid w:val="00AE0D92"/>
    <w:pPr>
      <w:spacing w:after="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735028">
      <w:marLeft w:val="0"/>
      <w:marRight w:val="0"/>
      <w:marTop w:val="0"/>
      <w:marBottom w:val="0"/>
      <w:divBdr>
        <w:top w:val="none" w:sz="0" w:space="0" w:color="auto"/>
        <w:left w:val="none" w:sz="0" w:space="0" w:color="auto"/>
        <w:bottom w:val="none" w:sz="0" w:space="0" w:color="auto"/>
        <w:right w:val="none" w:sz="0" w:space="0" w:color="auto"/>
      </w:divBdr>
    </w:div>
    <w:div w:id="267735029">
      <w:marLeft w:val="0"/>
      <w:marRight w:val="0"/>
      <w:marTop w:val="0"/>
      <w:marBottom w:val="0"/>
      <w:divBdr>
        <w:top w:val="none" w:sz="0" w:space="0" w:color="auto"/>
        <w:left w:val="none" w:sz="0" w:space="0" w:color="auto"/>
        <w:bottom w:val="none" w:sz="0" w:space="0" w:color="auto"/>
        <w:right w:val="none" w:sz="0" w:space="0" w:color="auto"/>
      </w:divBdr>
    </w:div>
    <w:div w:id="267735030">
      <w:marLeft w:val="0"/>
      <w:marRight w:val="0"/>
      <w:marTop w:val="0"/>
      <w:marBottom w:val="0"/>
      <w:divBdr>
        <w:top w:val="none" w:sz="0" w:space="0" w:color="auto"/>
        <w:left w:val="none" w:sz="0" w:space="0" w:color="auto"/>
        <w:bottom w:val="none" w:sz="0" w:space="0" w:color="auto"/>
        <w:right w:val="none" w:sz="0" w:space="0" w:color="auto"/>
      </w:divBdr>
    </w:div>
    <w:div w:id="267735031">
      <w:marLeft w:val="0"/>
      <w:marRight w:val="0"/>
      <w:marTop w:val="0"/>
      <w:marBottom w:val="0"/>
      <w:divBdr>
        <w:top w:val="none" w:sz="0" w:space="0" w:color="auto"/>
        <w:left w:val="none" w:sz="0" w:space="0" w:color="auto"/>
        <w:bottom w:val="none" w:sz="0" w:space="0" w:color="auto"/>
        <w:right w:val="none" w:sz="0" w:space="0" w:color="auto"/>
      </w:divBdr>
    </w:div>
    <w:div w:id="2677350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3413</Words>
  <Characters>17018</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3</cp:revision>
  <dcterms:created xsi:type="dcterms:W3CDTF">2015-12-02T08:52:00Z</dcterms:created>
  <dcterms:modified xsi:type="dcterms:W3CDTF">2015-12-02T10:16:00Z</dcterms:modified>
</cp:coreProperties>
</file>