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72" w:rsidRDefault="00700A72" w:rsidP="00700A72">
      <w:pPr>
        <w:pStyle w:val="1"/>
        <w:spacing w:line="480" w:lineRule="auto"/>
        <w:jc w:val="center"/>
        <w:rPr>
          <w:sz w:val="36"/>
          <w:szCs w:val="36"/>
          <w:rtl/>
        </w:rPr>
      </w:pPr>
      <w:r w:rsidRPr="00700A72">
        <w:rPr>
          <w:rFonts w:hint="cs"/>
          <w:sz w:val="36"/>
          <w:szCs w:val="36"/>
          <w:rtl/>
        </w:rPr>
        <w:t xml:space="preserve">שיעור 25 </w:t>
      </w:r>
      <w:r w:rsidRPr="00700A72">
        <w:rPr>
          <w:sz w:val="36"/>
          <w:szCs w:val="36"/>
          <w:rtl/>
        </w:rPr>
        <w:t>–</w:t>
      </w:r>
      <w:r w:rsidRPr="00700A72">
        <w:rPr>
          <w:rFonts w:hint="cs"/>
          <w:sz w:val="36"/>
          <w:szCs w:val="36"/>
          <w:rtl/>
        </w:rPr>
        <w:t xml:space="preserve"> אגדות מסכת פסחים </w:t>
      </w:r>
    </w:p>
    <w:p w:rsidR="00700A72" w:rsidRPr="00700A72" w:rsidRDefault="00700A72" w:rsidP="00700A72">
      <w:pPr>
        <w:pStyle w:val="1"/>
        <w:tabs>
          <w:tab w:val="left" w:pos="3303"/>
          <w:tab w:val="center" w:pos="4819"/>
        </w:tabs>
        <w:spacing w:line="480" w:lineRule="auto"/>
        <w:jc w:val="left"/>
        <w:rPr>
          <w:sz w:val="36"/>
          <w:szCs w:val="36"/>
          <w:rtl/>
        </w:rPr>
        <w:sectPr w:rsidR="00700A72" w:rsidRPr="00700A72" w:rsidSect="00700A72">
          <w:headerReference w:type="default" r:id="rId8"/>
          <w:headerReference w:type="first" r:id="rId9"/>
          <w:pgSz w:w="11906" w:h="16838" w:code="9"/>
          <w:pgMar w:top="1134" w:right="1133" w:bottom="964" w:left="1134" w:header="709" w:footer="709" w:gutter="0"/>
          <w:cols w:space="397"/>
          <w:titlePg/>
          <w:bidi/>
        </w:sectPr>
      </w:pPr>
      <w:r>
        <w:rPr>
          <w:sz w:val="36"/>
          <w:szCs w:val="36"/>
          <w:rtl/>
        </w:rPr>
        <w:tab/>
      </w:r>
      <w:r>
        <w:rPr>
          <w:sz w:val="36"/>
          <w:szCs w:val="36"/>
          <w:rtl/>
        </w:rPr>
        <w:tab/>
      </w:r>
      <w:r w:rsidRPr="00700A72">
        <w:rPr>
          <w:rFonts w:hint="cs"/>
          <w:sz w:val="36"/>
          <w:szCs w:val="36"/>
          <w:rtl/>
        </w:rPr>
        <w:t>פרקים א-ג</w:t>
      </w:r>
    </w:p>
    <w:p w:rsidR="00700A72" w:rsidRPr="00700A72" w:rsidRDefault="00700A72" w:rsidP="00E03B51">
      <w:pPr>
        <w:pStyle w:val="2"/>
        <w:spacing w:line="480" w:lineRule="auto"/>
        <w:jc w:val="both"/>
        <w:rPr>
          <w:b w:val="0"/>
          <w:bCs w:val="0"/>
          <w:rtl/>
        </w:rPr>
      </w:pPr>
      <w:r w:rsidRPr="00700A72">
        <w:rPr>
          <w:rFonts w:hint="cs"/>
          <w:b w:val="0"/>
          <w:bCs w:val="0"/>
          <w:rtl/>
        </w:rPr>
        <w:t>לקראת חג הפסח הבעל"ט, נעסוק</w:t>
      </w:r>
      <w:r w:rsidR="00E03B51">
        <w:rPr>
          <w:rFonts w:hint="cs"/>
          <w:b w:val="0"/>
          <w:bCs w:val="0"/>
          <w:rtl/>
        </w:rPr>
        <w:t xml:space="preserve"> בשיעורים הקרובים</w:t>
      </w:r>
      <w:r w:rsidRPr="00700A72">
        <w:rPr>
          <w:rFonts w:hint="cs"/>
          <w:b w:val="0"/>
          <w:bCs w:val="0"/>
          <w:rtl/>
        </w:rPr>
        <w:t xml:space="preserve"> באגדות שמצויות במסכת פסחים ובתפקידן.</w:t>
      </w:r>
      <w:r w:rsidR="00E03B51">
        <w:rPr>
          <w:rFonts w:hint="cs"/>
          <w:b w:val="0"/>
          <w:bCs w:val="0"/>
          <w:rtl/>
        </w:rPr>
        <w:t xml:space="preserve"> מעבר לניתוח האגדות עצמן, </w:t>
      </w:r>
      <w:r w:rsidRPr="00700A72">
        <w:rPr>
          <w:rFonts w:hint="cs"/>
          <w:b w:val="0"/>
          <w:bCs w:val="0"/>
          <w:rtl/>
        </w:rPr>
        <w:t>נעמוד על תפקיד נוסף שממלאת האגדה בתלמוד הבבלי.</w:t>
      </w:r>
    </w:p>
    <w:p w:rsidR="00700A72" w:rsidRPr="00700A72" w:rsidRDefault="00700A72" w:rsidP="00ED086D">
      <w:pPr>
        <w:spacing w:line="480" w:lineRule="auto"/>
        <w:rPr>
          <w:sz w:val="24"/>
          <w:szCs w:val="24"/>
          <w:rtl/>
        </w:rPr>
      </w:pPr>
      <w:r w:rsidRPr="00700A72">
        <w:rPr>
          <w:rFonts w:hint="cs"/>
          <w:sz w:val="24"/>
          <w:szCs w:val="24"/>
          <w:rtl/>
        </w:rPr>
        <w:t>מסכת פסחים נחלקה כבר מימי הראשונים</w:t>
      </w:r>
      <w:r w:rsidRPr="00E03B51">
        <w:rPr>
          <w:rStyle w:val="a7"/>
          <w:rFonts w:eastAsiaTheme="majorEastAsia"/>
          <w:sz w:val="18"/>
          <w:szCs w:val="18"/>
        </w:rPr>
        <w:footnoteReference w:id="1"/>
      </w:r>
      <w:r w:rsidRPr="00700A72">
        <w:rPr>
          <w:rFonts w:hint="cs"/>
          <w:sz w:val="24"/>
          <w:szCs w:val="24"/>
          <w:rtl/>
        </w:rPr>
        <w:t xml:space="preserve"> לשני חלקים: פרקים ה'-ט', העוסקים בהלכות ה</w:t>
      </w:r>
      <w:r w:rsidR="00E03B51">
        <w:rPr>
          <w:rFonts w:hint="cs"/>
          <w:sz w:val="24"/>
          <w:szCs w:val="24"/>
          <w:rtl/>
        </w:rPr>
        <w:t>נוגעות בקרבן הפסח, ופרקים א'-ד' ו-</w:t>
      </w:r>
      <w:r w:rsidRPr="00700A72">
        <w:rPr>
          <w:rFonts w:hint="cs"/>
          <w:sz w:val="24"/>
          <w:szCs w:val="24"/>
          <w:rtl/>
        </w:rPr>
        <w:t xml:space="preserve"> י', העוסקים ביתר </w:t>
      </w:r>
      <w:r w:rsidR="00ED086D">
        <w:rPr>
          <w:rFonts w:hint="cs"/>
          <w:sz w:val="24"/>
          <w:szCs w:val="24"/>
          <w:rtl/>
        </w:rPr>
        <w:t xml:space="preserve">הלכות החג. למעשה, את החלק העוסק בהלכות החג הפותח את המסכת ואף </w:t>
      </w:r>
      <w:r w:rsidRPr="00700A72">
        <w:rPr>
          <w:rFonts w:hint="cs"/>
          <w:sz w:val="24"/>
          <w:szCs w:val="24"/>
          <w:rtl/>
        </w:rPr>
        <w:t xml:space="preserve">זכה לכינוי 'פסח ראשון', ניתן לחלק </w:t>
      </w:r>
      <w:r w:rsidR="00E03B51">
        <w:rPr>
          <w:rFonts w:hint="cs"/>
          <w:sz w:val="24"/>
          <w:szCs w:val="24"/>
          <w:rtl/>
        </w:rPr>
        <w:t>ל</w:t>
      </w:r>
      <w:r w:rsidRPr="00700A72">
        <w:rPr>
          <w:rFonts w:hint="cs"/>
          <w:sz w:val="24"/>
          <w:szCs w:val="24"/>
          <w:rtl/>
        </w:rPr>
        <w:t xml:space="preserve">חלוקה משנית: פרקים א'-ג' עוסקים רובם ככולם בענייני </w:t>
      </w:r>
      <w:r w:rsidRPr="00700A72">
        <w:rPr>
          <w:rFonts w:hint="cs"/>
          <w:b/>
          <w:bCs/>
          <w:sz w:val="24"/>
          <w:szCs w:val="24"/>
          <w:rtl/>
        </w:rPr>
        <w:t>חמץ</w:t>
      </w:r>
      <w:r w:rsidRPr="00700A72">
        <w:rPr>
          <w:rFonts w:hint="cs"/>
          <w:sz w:val="24"/>
          <w:szCs w:val="24"/>
          <w:rtl/>
        </w:rPr>
        <w:t xml:space="preserve"> </w:t>
      </w:r>
      <w:r w:rsidRPr="00700A72">
        <w:rPr>
          <w:sz w:val="24"/>
          <w:szCs w:val="24"/>
          <w:rtl/>
        </w:rPr>
        <w:t>–</w:t>
      </w:r>
      <w:r w:rsidR="00355C61">
        <w:rPr>
          <w:rFonts w:hint="cs"/>
          <w:sz w:val="24"/>
          <w:szCs w:val="24"/>
          <w:rtl/>
        </w:rPr>
        <w:t xml:space="preserve"> בדיקת חמץ וביעורו </w:t>
      </w:r>
      <w:r w:rsidR="0028735E">
        <w:rPr>
          <w:rFonts w:hint="cs"/>
          <w:sz w:val="24"/>
          <w:szCs w:val="24"/>
          <w:rtl/>
        </w:rPr>
        <w:t>ו</w:t>
      </w:r>
      <w:r w:rsidR="00355C61">
        <w:rPr>
          <w:rFonts w:hint="cs"/>
          <w:sz w:val="24"/>
          <w:szCs w:val="24"/>
          <w:rtl/>
        </w:rPr>
        <w:t>זמני</w:t>
      </w:r>
      <w:r w:rsidR="0028735E">
        <w:rPr>
          <w:rFonts w:hint="cs"/>
          <w:sz w:val="24"/>
          <w:szCs w:val="24"/>
          <w:rtl/>
        </w:rPr>
        <w:t>ה</w:t>
      </w:r>
      <w:r w:rsidRPr="00700A72">
        <w:rPr>
          <w:rFonts w:hint="cs"/>
          <w:sz w:val="24"/>
          <w:szCs w:val="24"/>
          <w:rtl/>
        </w:rPr>
        <w:t>ם השונים, והגדרת חמץ.</w:t>
      </w:r>
      <w:r w:rsidRPr="0028735E">
        <w:rPr>
          <w:rStyle w:val="a7"/>
          <w:rFonts w:eastAsiaTheme="majorEastAsia"/>
          <w:sz w:val="18"/>
          <w:szCs w:val="18"/>
        </w:rPr>
        <w:footnoteReference w:id="2"/>
      </w:r>
      <w:r w:rsidRPr="0028735E">
        <w:rPr>
          <w:rFonts w:hint="cs"/>
          <w:sz w:val="18"/>
          <w:szCs w:val="18"/>
          <w:rtl/>
        </w:rPr>
        <w:t xml:space="preserve"> </w:t>
      </w:r>
      <w:r w:rsidRPr="00700A72">
        <w:rPr>
          <w:rFonts w:hint="cs"/>
          <w:sz w:val="24"/>
          <w:szCs w:val="24"/>
          <w:rtl/>
        </w:rPr>
        <w:t>אמנם, בכל אחד מהפרקים הללו יש</w:t>
      </w:r>
      <w:r w:rsidR="00ED086D">
        <w:rPr>
          <w:rFonts w:hint="cs"/>
          <w:sz w:val="24"/>
          <w:szCs w:val="24"/>
          <w:rtl/>
        </w:rPr>
        <w:t>נם</w:t>
      </w:r>
      <w:r w:rsidRPr="00700A72">
        <w:rPr>
          <w:rFonts w:hint="cs"/>
          <w:sz w:val="24"/>
          <w:szCs w:val="24"/>
          <w:rtl/>
        </w:rPr>
        <w:t xml:space="preserve"> גם נושאים אחרים שנגררו אגב הנושא המרכזי מסיבות ספרותיות או אחרות, כגון שריפת בשר ושמן טמאים בפרק א'</w:t>
      </w:r>
      <w:r w:rsidR="0028735E">
        <w:rPr>
          <w:rStyle w:val="a7"/>
          <w:rtl/>
        </w:rPr>
        <w:footnoteReference w:id="3"/>
      </w:r>
      <w:r w:rsidRPr="00700A72">
        <w:rPr>
          <w:rFonts w:hint="cs"/>
          <w:sz w:val="24"/>
          <w:szCs w:val="24"/>
          <w:rtl/>
        </w:rPr>
        <w:t xml:space="preserve"> וענייני המרור וקר</w:t>
      </w:r>
      <w:r w:rsidR="0028735E">
        <w:rPr>
          <w:rFonts w:hint="cs"/>
          <w:sz w:val="24"/>
          <w:szCs w:val="24"/>
          <w:rtl/>
        </w:rPr>
        <w:t>בן הפסח בפרק השני</w:t>
      </w:r>
      <w:r w:rsidR="0028735E">
        <w:rPr>
          <w:rStyle w:val="a7"/>
          <w:rtl/>
        </w:rPr>
        <w:footnoteReference w:id="4"/>
      </w:r>
      <w:r w:rsidR="0028735E">
        <w:rPr>
          <w:rFonts w:hint="cs"/>
          <w:sz w:val="24"/>
          <w:szCs w:val="24"/>
          <w:rtl/>
        </w:rPr>
        <w:t>,</w:t>
      </w:r>
      <w:r w:rsidRPr="00700A72">
        <w:rPr>
          <w:rFonts w:hint="cs"/>
          <w:sz w:val="24"/>
          <w:szCs w:val="24"/>
          <w:rtl/>
        </w:rPr>
        <w:t xml:space="preserve"> ואין כאן מקום להאריך בנסיבות המדויקות של הכללתם בפרקים אלה. מכל מקום, ברור למעי</w:t>
      </w:r>
      <w:r w:rsidR="0028735E">
        <w:rPr>
          <w:rFonts w:hint="cs"/>
          <w:sz w:val="24"/>
          <w:szCs w:val="24"/>
          <w:rtl/>
        </w:rPr>
        <w:t>ין בפרקים שנושאים אלה אינם</w:t>
      </w:r>
      <w:r w:rsidRPr="00700A72">
        <w:rPr>
          <w:rFonts w:hint="cs"/>
          <w:sz w:val="24"/>
          <w:szCs w:val="24"/>
          <w:rtl/>
        </w:rPr>
        <w:t xml:space="preserve"> עיקר, ולו מכיון שלאחר העיסוק ב</w:t>
      </w:r>
      <w:r w:rsidR="0028735E">
        <w:rPr>
          <w:rFonts w:hint="cs"/>
          <w:sz w:val="24"/>
          <w:szCs w:val="24"/>
          <w:rtl/>
        </w:rPr>
        <w:t>כ</w:t>
      </w:r>
      <w:r w:rsidR="00ED086D">
        <w:rPr>
          <w:rFonts w:hint="cs"/>
          <w:sz w:val="24"/>
          <w:szCs w:val="24"/>
          <w:rtl/>
        </w:rPr>
        <w:t>ל אחד מהם, חוזרת המשנה באופן מי</w:t>
      </w:r>
      <w:r w:rsidR="0028735E">
        <w:rPr>
          <w:rFonts w:hint="cs"/>
          <w:sz w:val="24"/>
          <w:szCs w:val="24"/>
          <w:rtl/>
        </w:rPr>
        <w:t>די לנושא החמץ.</w:t>
      </w:r>
      <w:r w:rsidR="0028735E">
        <w:rPr>
          <w:rStyle w:val="a7"/>
          <w:rtl/>
        </w:rPr>
        <w:footnoteReference w:id="5"/>
      </w:r>
      <w:r w:rsidR="00F6698D">
        <w:rPr>
          <w:rFonts w:hint="cs"/>
          <w:sz w:val="24"/>
          <w:szCs w:val="24"/>
          <w:rtl/>
        </w:rPr>
        <w:t xml:space="preserve"> </w:t>
      </w:r>
      <w:r w:rsidRPr="00700A72">
        <w:rPr>
          <w:rFonts w:hint="cs"/>
          <w:sz w:val="24"/>
          <w:szCs w:val="24"/>
          <w:rtl/>
        </w:rPr>
        <w:t xml:space="preserve">היחידה כולה נחתמת </w:t>
      </w:r>
      <w:r w:rsidRPr="00700A72">
        <w:rPr>
          <w:rFonts w:hint="cs"/>
          <w:sz w:val="24"/>
          <w:szCs w:val="24"/>
          <w:rtl/>
        </w:rPr>
        <w:t>במשנה שעוסקת בביעור חמץ</w:t>
      </w:r>
      <w:r w:rsidR="00F6698D">
        <w:rPr>
          <w:rFonts w:hint="cs"/>
          <w:sz w:val="24"/>
          <w:szCs w:val="24"/>
          <w:rtl/>
        </w:rPr>
        <w:t xml:space="preserve">- </w:t>
      </w:r>
      <w:r w:rsidR="00ED086D">
        <w:rPr>
          <w:rFonts w:hint="cs"/>
          <w:sz w:val="24"/>
          <w:szCs w:val="24"/>
          <w:rtl/>
        </w:rPr>
        <w:t>פ"ג</w:t>
      </w:r>
      <w:r w:rsidRPr="00700A72">
        <w:rPr>
          <w:rFonts w:hint="cs"/>
          <w:sz w:val="24"/>
          <w:szCs w:val="24"/>
          <w:rtl/>
        </w:rPr>
        <w:t xml:space="preserve">, </w:t>
      </w:r>
      <w:r w:rsidR="00ED086D">
        <w:rPr>
          <w:rFonts w:hint="cs"/>
          <w:sz w:val="24"/>
          <w:szCs w:val="24"/>
          <w:rtl/>
        </w:rPr>
        <w:t>מ"</w:t>
      </w:r>
      <w:r w:rsidRPr="00700A72">
        <w:rPr>
          <w:rFonts w:hint="cs"/>
          <w:sz w:val="24"/>
          <w:szCs w:val="24"/>
          <w:rtl/>
        </w:rPr>
        <w:t xml:space="preserve">ז. </w:t>
      </w:r>
      <w:r w:rsidR="00F6698D">
        <w:rPr>
          <w:rFonts w:hint="cs"/>
          <w:sz w:val="24"/>
          <w:szCs w:val="24"/>
          <w:rtl/>
        </w:rPr>
        <w:t xml:space="preserve">לעומת שלושת הפרקים הראשונים, </w:t>
      </w:r>
      <w:r w:rsidRPr="00700A72">
        <w:rPr>
          <w:rFonts w:hint="cs"/>
          <w:sz w:val="24"/>
          <w:szCs w:val="24"/>
          <w:rtl/>
        </w:rPr>
        <w:t xml:space="preserve">פרק ד' עוסק בערב פסח, י"ד בניסן, ופרק י' עוסק בליל הסדר. </w:t>
      </w:r>
    </w:p>
    <w:p w:rsidR="00F6698D" w:rsidRDefault="00700A72" w:rsidP="00B845E5">
      <w:pPr>
        <w:spacing w:line="480" w:lineRule="auto"/>
        <w:rPr>
          <w:sz w:val="24"/>
          <w:szCs w:val="24"/>
          <w:rtl/>
        </w:rPr>
      </w:pPr>
      <w:r w:rsidRPr="00700A72">
        <w:rPr>
          <w:rFonts w:hint="cs"/>
          <w:sz w:val="24"/>
          <w:szCs w:val="24"/>
          <w:rtl/>
        </w:rPr>
        <w:t>השיעור הנוכחי מתמקד ביחידה הראשונ</w:t>
      </w:r>
      <w:r w:rsidR="00F6698D">
        <w:rPr>
          <w:rFonts w:hint="cs"/>
          <w:sz w:val="24"/>
          <w:szCs w:val="24"/>
          <w:rtl/>
        </w:rPr>
        <w:t>ה, פרקים א'-ג', שניתן לראות</w:t>
      </w:r>
      <w:r w:rsidR="00B845E5">
        <w:rPr>
          <w:rFonts w:hint="cs"/>
          <w:sz w:val="24"/>
          <w:szCs w:val="24"/>
          <w:rtl/>
        </w:rPr>
        <w:t>ה</w:t>
      </w:r>
      <w:r w:rsidRPr="00700A72">
        <w:rPr>
          <w:rFonts w:hint="cs"/>
          <w:sz w:val="24"/>
          <w:szCs w:val="24"/>
          <w:rtl/>
        </w:rPr>
        <w:t xml:space="preserve"> כיחידה נושאית אחת שעוסקת בחמץ, כפי שנפרט להלן. ישנן מספר תופעות ספרותיות במשניות הפרקים הללו שמצטרפות לאחידותם התוכנית </w:t>
      </w:r>
      <w:r w:rsidR="00F6698D">
        <w:rPr>
          <w:rFonts w:hint="cs"/>
          <w:sz w:val="24"/>
          <w:szCs w:val="24"/>
          <w:rtl/>
        </w:rPr>
        <w:t xml:space="preserve">של </w:t>
      </w:r>
      <w:r w:rsidRPr="00700A72">
        <w:rPr>
          <w:rFonts w:hint="cs"/>
          <w:sz w:val="24"/>
          <w:szCs w:val="24"/>
          <w:rtl/>
        </w:rPr>
        <w:t xml:space="preserve">הפרקים, ותומכות בראייתם כיחידה ספרותית עצמאית, כפי שנראה להלן. </w:t>
      </w:r>
    </w:p>
    <w:p w:rsidR="00700A72" w:rsidRPr="00700A72" w:rsidRDefault="00700A72" w:rsidP="00F6698D">
      <w:pPr>
        <w:spacing w:line="480" w:lineRule="auto"/>
        <w:rPr>
          <w:sz w:val="24"/>
          <w:szCs w:val="24"/>
          <w:rtl/>
        </w:rPr>
      </w:pPr>
      <w:r w:rsidRPr="00700A72">
        <w:rPr>
          <w:rFonts w:hint="cs"/>
          <w:sz w:val="24"/>
          <w:szCs w:val="24"/>
          <w:rtl/>
        </w:rPr>
        <w:t xml:space="preserve">עיון בפרקים הללו בתלמוד הבבלי מלמד שיתכן שעורכי המסכת נתנו אף הם ביטוי ספרותי לאחדותה של היחידה הזו, על ידי שיבוץ קטעי </w:t>
      </w:r>
      <w:r w:rsidR="00F6698D">
        <w:rPr>
          <w:rFonts w:hint="cs"/>
          <w:sz w:val="24"/>
          <w:szCs w:val="24"/>
          <w:rtl/>
        </w:rPr>
        <w:t xml:space="preserve">אגדה בתחילת היחידה ובסופה. </w:t>
      </w:r>
      <w:r w:rsidR="00B845E5">
        <w:rPr>
          <w:rFonts w:hint="cs"/>
          <w:sz w:val="24"/>
          <w:szCs w:val="24"/>
          <w:rtl/>
        </w:rPr>
        <w:t>נעסוק בקטעי האגדה הללו- אגדת הפתיחה למסכת</w:t>
      </w:r>
      <w:r w:rsidRPr="00700A72">
        <w:rPr>
          <w:rFonts w:hint="cs"/>
          <w:sz w:val="24"/>
          <w:szCs w:val="24"/>
          <w:rtl/>
        </w:rPr>
        <w:t xml:space="preserve"> העוסקת בביטוי 'אור לארבעה עשר'</w:t>
      </w:r>
      <w:r w:rsidR="00F6698D">
        <w:rPr>
          <w:rFonts w:hint="cs"/>
          <w:sz w:val="24"/>
          <w:szCs w:val="24"/>
          <w:rtl/>
        </w:rPr>
        <w:t>,</w:t>
      </w:r>
      <w:r w:rsidR="00F6698D">
        <w:rPr>
          <w:rStyle w:val="a7"/>
          <w:rtl/>
        </w:rPr>
        <w:footnoteReference w:id="6"/>
      </w:r>
      <w:r w:rsidRPr="00700A72">
        <w:rPr>
          <w:rFonts w:hint="cs"/>
          <w:sz w:val="24"/>
          <w:szCs w:val="24"/>
          <w:rtl/>
        </w:rPr>
        <w:t xml:space="preserve"> ואגדה בסוף הפרק השלישי,</w:t>
      </w:r>
      <w:r w:rsidR="00F6698D">
        <w:rPr>
          <w:rStyle w:val="a7"/>
          <w:rtl/>
        </w:rPr>
        <w:footnoteReference w:id="7"/>
      </w:r>
      <w:r w:rsidRPr="00700A72">
        <w:rPr>
          <w:rFonts w:hint="cs"/>
          <w:sz w:val="24"/>
          <w:szCs w:val="24"/>
          <w:rtl/>
        </w:rPr>
        <w:t xml:space="preserve"> החותמת את היחידה. לאחר שנעסוק בכל אחת מהאגדות</w:t>
      </w:r>
      <w:r w:rsidR="00F6698D">
        <w:rPr>
          <w:rFonts w:hint="cs"/>
          <w:sz w:val="24"/>
          <w:szCs w:val="24"/>
          <w:rtl/>
        </w:rPr>
        <w:t>,</w:t>
      </w:r>
      <w:r w:rsidRPr="00700A72">
        <w:rPr>
          <w:rFonts w:hint="cs"/>
          <w:sz w:val="24"/>
          <w:szCs w:val="24"/>
          <w:rtl/>
        </w:rPr>
        <w:t xml:space="preserve"> ננסה להראות שלא מדובר רק ב</w:t>
      </w:r>
      <w:r w:rsidR="00F6698D">
        <w:rPr>
          <w:rFonts w:hint="cs"/>
          <w:sz w:val="24"/>
          <w:szCs w:val="24"/>
          <w:rtl/>
        </w:rPr>
        <w:t>שיבוץ אגדה בתחילת היחידה ובסופה הנועד לשמש</w:t>
      </w:r>
      <w:r w:rsidRPr="00700A72">
        <w:rPr>
          <w:rFonts w:hint="cs"/>
          <w:sz w:val="24"/>
          <w:szCs w:val="24"/>
          <w:rtl/>
        </w:rPr>
        <w:t xml:space="preserve"> כמעין קישוט </w:t>
      </w:r>
      <w:r w:rsidR="00F6698D">
        <w:rPr>
          <w:rFonts w:hint="cs"/>
          <w:sz w:val="24"/>
          <w:szCs w:val="24"/>
          <w:rtl/>
        </w:rPr>
        <w:t>ספרותי, אלא שבין שתי האגדות ה</w:t>
      </w:r>
      <w:r w:rsidR="002E46F7">
        <w:rPr>
          <w:rFonts w:hint="cs"/>
          <w:sz w:val="24"/>
          <w:szCs w:val="24"/>
          <w:rtl/>
        </w:rPr>
        <w:t>ללו</w:t>
      </w:r>
      <w:r w:rsidRPr="00700A72">
        <w:rPr>
          <w:rFonts w:hint="cs"/>
          <w:sz w:val="24"/>
          <w:szCs w:val="24"/>
          <w:rtl/>
        </w:rPr>
        <w:t xml:space="preserve"> יש</w:t>
      </w:r>
      <w:r w:rsidR="00B845E5">
        <w:rPr>
          <w:rFonts w:hint="cs"/>
          <w:sz w:val="24"/>
          <w:szCs w:val="24"/>
          <w:rtl/>
        </w:rPr>
        <w:t>נם</w:t>
      </w:r>
      <w:r w:rsidRPr="00700A72">
        <w:rPr>
          <w:rFonts w:hint="cs"/>
          <w:sz w:val="24"/>
          <w:szCs w:val="24"/>
          <w:rtl/>
        </w:rPr>
        <w:t xml:space="preserve"> קשרים תמאטיים וספרותיים, </w:t>
      </w:r>
      <w:r w:rsidR="00B845E5">
        <w:rPr>
          <w:rFonts w:hint="cs"/>
          <w:sz w:val="24"/>
          <w:szCs w:val="24"/>
          <w:rtl/>
        </w:rPr>
        <w:t>א</w:t>
      </w:r>
      <w:r w:rsidRPr="00700A72">
        <w:rPr>
          <w:rFonts w:hint="cs"/>
          <w:sz w:val="24"/>
          <w:szCs w:val="24"/>
          <w:rtl/>
        </w:rPr>
        <w:t>ש</w:t>
      </w:r>
      <w:r w:rsidR="00B845E5">
        <w:rPr>
          <w:rFonts w:hint="cs"/>
          <w:sz w:val="24"/>
          <w:szCs w:val="24"/>
          <w:rtl/>
        </w:rPr>
        <w:t xml:space="preserve">ר </w:t>
      </w:r>
      <w:r w:rsidRPr="00700A72">
        <w:rPr>
          <w:rFonts w:hint="cs"/>
          <w:sz w:val="24"/>
          <w:szCs w:val="24"/>
          <w:rtl/>
        </w:rPr>
        <w:t>באמצעותם נוצרת ליחידה הנ"ל מסגרת ספרותית, שנושאת משמעות רעיו</w:t>
      </w:r>
      <w:r w:rsidR="002E46F7">
        <w:rPr>
          <w:rFonts w:hint="cs"/>
          <w:sz w:val="24"/>
          <w:szCs w:val="24"/>
          <w:rtl/>
        </w:rPr>
        <w:t>נית ה</w:t>
      </w:r>
      <w:r w:rsidRPr="00700A72">
        <w:rPr>
          <w:rFonts w:hint="cs"/>
          <w:sz w:val="24"/>
          <w:szCs w:val="24"/>
          <w:rtl/>
        </w:rPr>
        <w:t>רלוונטית לתוכן הפרקים</w:t>
      </w:r>
      <w:r w:rsidR="002E46F7">
        <w:rPr>
          <w:rFonts w:hint="cs"/>
          <w:sz w:val="24"/>
          <w:szCs w:val="24"/>
          <w:rtl/>
        </w:rPr>
        <w:t xml:space="preserve"> עצמם</w:t>
      </w:r>
      <w:r w:rsidRPr="00700A72">
        <w:rPr>
          <w:rFonts w:hint="cs"/>
          <w:sz w:val="24"/>
          <w:szCs w:val="24"/>
          <w:rtl/>
        </w:rPr>
        <w:t>.</w:t>
      </w:r>
    </w:p>
    <w:p w:rsidR="00700A72" w:rsidRPr="00700A72" w:rsidRDefault="00700A72" w:rsidP="002E46F7">
      <w:pPr>
        <w:spacing w:line="480" w:lineRule="auto"/>
        <w:rPr>
          <w:sz w:val="24"/>
          <w:szCs w:val="24"/>
          <w:rtl/>
        </w:rPr>
      </w:pPr>
      <w:r w:rsidRPr="00700A72">
        <w:rPr>
          <w:rFonts w:hint="cs"/>
          <w:sz w:val="24"/>
          <w:szCs w:val="24"/>
          <w:rtl/>
        </w:rPr>
        <w:lastRenderedPageBreak/>
        <w:t>באופן כללי נאמר שקיומה של</w:t>
      </w:r>
      <w:r w:rsidR="002E46F7">
        <w:rPr>
          <w:rFonts w:hint="cs"/>
          <w:sz w:val="24"/>
          <w:szCs w:val="24"/>
          <w:rtl/>
        </w:rPr>
        <w:t xml:space="preserve"> מסגרת ספרותית ליחידות תמאטיות בתלמוד הבבלי</w:t>
      </w:r>
      <w:r w:rsidRPr="00700A72">
        <w:rPr>
          <w:rFonts w:hint="cs"/>
          <w:sz w:val="24"/>
          <w:szCs w:val="24"/>
          <w:rtl/>
        </w:rPr>
        <w:t xml:space="preserve"> איננה ייחודית ליחידה זו של מסכת פסחים. הרב ד"ר א' וולפיש כבר הצביע על תופעה דומה במסכת ראש השנה, ולעניות דעתי ניתן להצביע על מקומות נוספים. במסגרת זו</w:t>
      </w:r>
      <w:r w:rsidR="002E46F7">
        <w:rPr>
          <w:rFonts w:hint="cs"/>
          <w:sz w:val="24"/>
          <w:szCs w:val="24"/>
          <w:rtl/>
        </w:rPr>
        <w:t xml:space="preserve"> אציין</w:t>
      </w:r>
      <w:r w:rsidRPr="00700A72">
        <w:rPr>
          <w:rFonts w:hint="cs"/>
          <w:sz w:val="24"/>
          <w:szCs w:val="24"/>
          <w:rtl/>
        </w:rPr>
        <w:t xml:space="preserve"> דוגמא אחת נוספת, דומה במקצת לדוגמא שבמאמר זה: פרקים ג' וד' במסכת סוכה, שבהם מצויים בעיקר הלכות ארבעת המינים, תחומים בשני </w:t>
      </w:r>
      <w:r w:rsidR="002E46F7">
        <w:rPr>
          <w:rFonts w:hint="cs"/>
          <w:sz w:val="24"/>
          <w:szCs w:val="24"/>
          <w:rtl/>
        </w:rPr>
        <w:t xml:space="preserve">קצותיהם </w:t>
      </w:r>
      <w:r w:rsidRPr="00700A72">
        <w:rPr>
          <w:rFonts w:hint="cs"/>
          <w:sz w:val="24"/>
          <w:szCs w:val="24"/>
          <w:rtl/>
        </w:rPr>
        <w:t>בדיונים המצטטים פסוקים סמוכים ממלאכי פרק א', תופעה שאיננה נראית מקרית, ואכמ"ל. דוגמה נוספת של מסגרת אגדית-ספרותית לפרק נידונה בסדרת השיעורים על אגדות מ</w:t>
      </w:r>
      <w:r w:rsidR="002E46F7">
        <w:rPr>
          <w:rFonts w:hint="cs"/>
          <w:sz w:val="24"/>
          <w:szCs w:val="24"/>
          <w:rtl/>
        </w:rPr>
        <w:t>סכת יומא שכתבתי בבמה זו</w:t>
      </w:r>
      <w:r w:rsidRPr="002E46F7">
        <w:rPr>
          <w:rStyle w:val="a7"/>
          <w:rFonts w:eastAsiaTheme="majorEastAsia"/>
          <w:sz w:val="18"/>
          <w:szCs w:val="18"/>
          <w:rtl/>
        </w:rPr>
        <w:footnoteReference w:id="8"/>
      </w:r>
      <w:r w:rsidR="002E46F7">
        <w:rPr>
          <w:rFonts w:hint="cs"/>
          <w:sz w:val="24"/>
          <w:szCs w:val="24"/>
          <w:rtl/>
        </w:rPr>
        <w:t>.</w:t>
      </w:r>
      <w:r w:rsidRPr="00700A72">
        <w:rPr>
          <w:rFonts w:hint="cs"/>
          <w:sz w:val="24"/>
          <w:szCs w:val="24"/>
          <w:rtl/>
        </w:rPr>
        <w:t xml:space="preserve"> </w:t>
      </w:r>
    </w:p>
    <w:p w:rsidR="00700A72" w:rsidRPr="00700A72" w:rsidRDefault="00700A72" w:rsidP="00700A72">
      <w:pPr>
        <w:spacing w:line="480" w:lineRule="auto"/>
        <w:ind w:firstLine="720"/>
        <w:rPr>
          <w:sz w:val="24"/>
          <w:szCs w:val="24"/>
          <w:rtl/>
        </w:rPr>
      </w:pPr>
      <w:r w:rsidRPr="00700A72">
        <w:rPr>
          <w:rFonts w:hint="cs"/>
          <w:sz w:val="24"/>
          <w:szCs w:val="24"/>
          <w:rtl/>
        </w:rPr>
        <w:t xml:space="preserve"> </w:t>
      </w:r>
    </w:p>
    <w:p w:rsidR="00700A72" w:rsidRPr="00700A72" w:rsidRDefault="00700A72" w:rsidP="00131455">
      <w:pPr>
        <w:spacing w:line="480" w:lineRule="auto"/>
        <w:jc w:val="center"/>
        <w:rPr>
          <w:b/>
          <w:bCs/>
          <w:sz w:val="24"/>
          <w:szCs w:val="24"/>
          <w:rtl/>
        </w:rPr>
      </w:pPr>
      <w:r w:rsidRPr="00700A72">
        <w:rPr>
          <w:rFonts w:hint="cs"/>
          <w:b/>
          <w:bCs/>
          <w:sz w:val="24"/>
          <w:szCs w:val="24"/>
          <w:rtl/>
        </w:rPr>
        <w:t>יחידת הפרקים א'-ג' במקורות התנאיים</w:t>
      </w:r>
    </w:p>
    <w:p w:rsidR="00700A72" w:rsidRPr="00700A72" w:rsidRDefault="00700A72" w:rsidP="00873C70">
      <w:pPr>
        <w:spacing w:line="480" w:lineRule="auto"/>
        <w:rPr>
          <w:sz w:val="24"/>
          <w:szCs w:val="24"/>
          <w:rtl/>
        </w:rPr>
      </w:pPr>
      <w:r w:rsidRPr="00700A72">
        <w:rPr>
          <w:rFonts w:hint="cs"/>
          <w:sz w:val="24"/>
          <w:szCs w:val="24"/>
          <w:rtl/>
        </w:rPr>
        <w:t>כאמור לעיל, לפרקים א'-ג' נושא הלכתי משותף,</w:t>
      </w:r>
      <w:r w:rsidR="00131455">
        <w:rPr>
          <w:rFonts w:hint="cs"/>
          <w:sz w:val="24"/>
          <w:szCs w:val="24"/>
          <w:rtl/>
        </w:rPr>
        <w:t xml:space="preserve"> והוא</w:t>
      </w:r>
      <w:r w:rsidRPr="00700A72">
        <w:rPr>
          <w:rFonts w:hint="cs"/>
          <w:sz w:val="24"/>
          <w:szCs w:val="24"/>
          <w:rtl/>
        </w:rPr>
        <w:t xml:space="preserve"> העיסוק בחמץ על היבטיו השונים. המעיין</w:t>
      </w:r>
      <w:r w:rsidR="00131455">
        <w:rPr>
          <w:rFonts w:hint="cs"/>
          <w:sz w:val="24"/>
          <w:szCs w:val="24"/>
          <w:rtl/>
        </w:rPr>
        <w:t xml:space="preserve"> ממעוף הציפור על יחידה </w:t>
      </w:r>
      <w:r w:rsidRPr="00700A72">
        <w:rPr>
          <w:rFonts w:hint="cs"/>
          <w:sz w:val="24"/>
          <w:szCs w:val="24"/>
          <w:rtl/>
        </w:rPr>
        <w:t>זו</w:t>
      </w:r>
      <w:r w:rsidR="00131455">
        <w:rPr>
          <w:rFonts w:hint="cs"/>
          <w:sz w:val="24"/>
          <w:szCs w:val="24"/>
          <w:rtl/>
        </w:rPr>
        <w:t>, להלן 'היחידה',</w:t>
      </w:r>
      <w:r w:rsidRPr="00700A72">
        <w:rPr>
          <w:rFonts w:hint="cs"/>
          <w:sz w:val="24"/>
          <w:szCs w:val="24"/>
          <w:rtl/>
        </w:rPr>
        <w:t xml:space="preserve"> </w:t>
      </w:r>
      <w:r w:rsidR="00131455" w:rsidRPr="00700A72">
        <w:rPr>
          <w:rFonts w:hint="cs"/>
          <w:sz w:val="24"/>
          <w:szCs w:val="24"/>
          <w:rtl/>
        </w:rPr>
        <w:t>ייווכ</w:t>
      </w:r>
      <w:r w:rsidR="00131455" w:rsidRPr="00700A72">
        <w:rPr>
          <w:rFonts w:hint="eastAsia"/>
          <w:sz w:val="24"/>
          <w:szCs w:val="24"/>
          <w:rtl/>
        </w:rPr>
        <w:t>ח</w:t>
      </w:r>
      <w:r w:rsidRPr="00700A72">
        <w:rPr>
          <w:rFonts w:hint="cs"/>
          <w:sz w:val="24"/>
          <w:szCs w:val="24"/>
          <w:rtl/>
        </w:rPr>
        <w:t xml:space="preserve"> בעובדה מעניינת לגבי אופן סידורה. היחידה פותחת בענייני בדיקת החמץ וביעורו,</w:t>
      </w:r>
      <w:r w:rsidRPr="00131455">
        <w:rPr>
          <w:rStyle w:val="a7"/>
          <w:rFonts w:eastAsiaTheme="majorEastAsia"/>
          <w:sz w:val="18"/>
          <w:szCs w:val="18"/>
          <w:rtl/>
        </w:rPr>
        <w:footnoteReference w:id="9"/>
      </w:r>
      <w:r w:rsidR="00131455">
        <w:rPr>
          <w:rFonts w:hint="cs"/>
          <w:sz w:val="24"/>
          <w:szCs w:val="24"/>
          <w:rtl/>
        </w:rPr>
        <w:t xml:space="preserve"> ו</w:t>
      </w:r>
      <w:r w:rsidR="00873C70">
        <w:rPr>
          <w:rFonts w:hint="cs"/>
          <w:sz w:val="24"/>
          <w:szCs w:val="24"/>
          <w:rtl/>
        </w:rPr>
        <w:t xml:space="preserve">אף </w:t>
      </w:r>
      <w:r w:rsidRPr="00700A72">
        <w:rPr>
          <w:rFonts w:hint="cs"/>
          <w:sz w:val="24"/>
          <w:szCs w:val="24"/>
          <w:rtl/>
        </w:rPr>
        <w:t>מס</w:t>
      </w:r>
      <w:r w:rsidR="00131455">
        <w:rPr>
          <w:rFonts w:hint="cs"/>
          <w:sz w:val="24"/>
          <w:szCs w:val="24"/>
          <w:rtl/>
        </w:rPr>
        <w:t>יימת בנושא ביעור החמץ</w:t>
      </w:r>
      <w:r w:rsidRPr="00700A72">
        <w:rPr>
          <w:rFonts w:hint="cs"/>
          <w:sz w:val="24"/>
          <w:szCs w:val="24"/>
          <w:rtl/>
        </w:rPr>
        <w:t>.</w:t>
      </w:r>
      <w:r w:rsidR="00131455">
        <w:rPr>
          <w:rStyle w:val="a7"/>
          <w:rtl/>
        </w:rPr>
        <w:footnoteReference w:id="10"/>
      </w:r>
      <w:r w:rsidRPr="00700A72">
        <w:rPr>
          <w:rFonts w:hint="cs"/>
          <w:sz w:val="24"/>
          <w:szCs w:val="24"/>
          <w:rtl/>
        </w:rPr>
        <w:t xml:space="preserve"> בתווך נמצאים יתר ענייני החמץ (ומספר עניינים נוספים שנגררו </w:t>
      </w:r>
      <w:r w:rsidR="00873C70">
        <w:rPr>
          <w:rFonts w:hint="cs"/>
          <w:sz w:val="24"/>
          <w:szCs w:val="24"/>
          <w:rtl/>
        </w:rPr>
        <w:t>בעקבותיו</w:t>
      </w:r>
      <w:r w:rsidRPr="00700A72">
        <w:rPr>
          <w:rFonts w:hint="cs"/>
          <w:sz w:val="24"/>
          <w:szCs w:val="24"/>
          <w:rtl/>
        </w:rPr>
        <w:t>), ובעיקר העיסוק בהגדרת החמץ ומצבי חימוץ שונים</w:t>
      </w:r>
      <w:r w:rsidR="00873C70">
        <w:rPr>
          <w:rFonts w:hint="cs"/>
          <w:sz w:val="24"/>
          <w:szCs w:val="24"/>
          <w:rtl/>
        </w:rPr>
        <w:t>.</w:t>
      </w:r>
      <w:r w:rsidR="00873C70">
        <w:rPr>
          <w:rStyle w:val="a7"/>
          <w:rtl/>
        </w:rPr>
        <w:footnoteReference w:id="11"/>
      </w:r>
      <w:r w:rsidRPr="00700A72">
        <w:rPr>
          <w:rFonts w:hint="cs"/>
          <w:sz w:val="24"/>
          <w:szCs w:val="24"/>
          <w:rtl/>
        </w:rPr>
        <w:t xml:space="preserve"> פתיחתה </w:t>
      </w:r>
      <w:r w:rsidRPr="00700A72">
        <w:rPr>
          <w:rFonts w:hint="cs"/>
          <w:sz w:val="24"/>
          <w:szCs w:val="24"/>
          <w:rtl/>
        </w:rPr>
        <w:t>וחתימתה של היחידה בענייני ביעור הח</w:t>
      </w:r>
      <w:r w:rsidR="00873C70">
        <w:rPr>
          <w:rFonts w:hint="cs"/>
          <w:sz w:val="24"/>
          <w:szCs w:val="24"/>
          <w:rtl/>
        </w:rPr>
        <w:t>מץ תורמת ללכידותה של היחידה העוסקת בחמץ</w:t>
      </w:r>
      <w:r w:rsidRPr="00700A72">
        <w:rPr>
          <w:rFonts w:hint="cs"/>
          <w:sz w:val="24"/>
          <w:szCs w:val="24"/>
          <w:rtl/>
        </w:rPr>
        <w:t xml:space="preserve">. </w:t>
      </w:r>
    </w:p>
    <w:p w:rsidR="00873C70" w:rsidRDefault="00700A72" w:rsidP="00873C70">
      <w:pPr>
        <w:spacing w:line="480" w:lineRule="auto"/>
        <w:rPr>
          <w:sz w:val="24"/>
          <w:szCs w:val="24"/>
          <w:rtl/>
        </w:rPr>
      </w:pPr>
      <w:r w:rsidRPr="00700A72">
        <w:rPr>
          <w:rFonts w:hint="cs"/>
          <w:sz w:val="24"/>
          <w:szCs w:val="24"/>
          <w:rtl/>
        </w:rPr>
        <w:t>מלבד המבנה התוכני הכללי הנ"ל קיימות במשניו</w:t>
      </w:r>
      <w:r w:rsidR="00856A30">
        <w:rPr>
          <w:rFonts w:hint="cs"/>
          <w:sz w:val="24"/>
          <w:szCs w:val="24"/>
          <w:rtl/>
        </w:rPr>
        <w:t>ת היחידה מספר תופעות ספרותיות, ה</w:t>
      </w:r>
      <w:r w:rsidRPr="00700A72">
        <w:rPr>
          <w:rFonts w:hint="cs"/>
          <w:sz w:val="24"/>
          <w:szCs w:val="24"/>
          <w:rtl/>
        </w:rPr>
        <w:t xml:space="preserve">קושרות בין הפרקים ביחידה ותורמות לראייתם כמסגרת ספרותית אחת: </w:t>
      </w:r>
    </w:p>
    <w:p w:rsidR="00700A72" w:rsidRPr="00873C70" w:rsidRDefault="00873C70" w:rsidP="00873C70">
      <w:pPr>
        <w:spacing w:line="480" w:lineRule="auto"/>
        <w:rPr>
          <w:sz w:val="24"/>
          <w:szCs w:val="24"/>
          <w:u w:val="single"/>
          <w:rtl/>
        </w:rPr>
      </w:pPr>
      <w:r w:rsidRPr="00873C70">
        <w:rPr>
          <w:rFonts w:hint="cs"/>
          <w:sz w:val="24"/>
          <w:szCs w:val="24"/>
          <w:u w:val="single"/>
          <w:rtl/>
        </w:rPr>
        <w:t xml:space="preserve">א. </w:t>
      </w:r>
      <w:r>
        <w:rPr>
          <w:rFonts w:hint="cs"/>
          <w:sz w:val="24"/>
          <w:szCs w:val="24"/>
          <w:u w:val="single"/>
          <w:rtl/>
        </w:rPr>
        <w:t xml:space="preserve">דמיון בחתימתם של פרקי המסגרת- פרק א' ופרק </w:t>
      </w:r>
      <w:r w:rsidR="00700A72" w:rsidRPr="00873C70">
        <w:rPr>
          <w:rFonts w:hint="cs"/>
          <w:sz w:val="24"/>
          <w:szCs w:val="24"/>
          <w:u w:val="single"/>
          <w:rtl/>
        </w:rPr>
        <w:t>ג':</w:t>
      </w:r>
    </w:p>
    <w:p w:rsidR="00700A72" w:rsidRPr="00700A72" w:rsidRDefault="00700A72" w:rsidP="00873C70">
      <w:pPr>
        <w:spacing w:line="480" w:lineRule="auto"/>
        <w:rPr>
          <w:sz w:val="24"/>
          <w:szCs w:val="24"/>
          <w:rtl/>
        </w:rPr>
      </w:pPr>
      <w:r w:rsidRPr="00700A72">
        <w:rPr>
          <w:rFonts w:hint="cs"/>
          <w:sz w:val="24"/>
          <w:szCs w:val="24"/>
          <w:rtl/>
        </w:rPr>
        <w:t xml:space="preserve">חתימתו של פרק א' מורכבת מצמד משניות בעלות נושא משותף: משנה ו עוסקת </w:t>
      </w:r>
      <w:r w:rsidRPr="00700A72">
        <w:rPr>
          <w:rFonts w:hint="cs"/>
          <w:b/>
          <w:bCs/>
          <w:sz w:val="24"/>
          <w:szCs w:val="24"/>
          <w:rtl/>
        </w:rPr>
        <w:t>בשריפת</w:t>
      </w:r>
      <w:r w:rsidRPr="00700A72">
        <w:rPr>
          <w:rFonts w:hint="cs"/>
          <w:sz w:val="24"/>
          <w:szCs w:val="24"/>
          <w:rtl/>
        </w:rPr>
        <w:t xml:space="preserve"> </w:t>
      </w:r>
      <w:r w:rsidRPr="00700A72">
        <w:rPr>
          <w:rFonts w:hint="cs"/>
          <w:b/>
          <w:bCs/>
          <w:sz w:val="24"/>
          <w:szCs w:val="24"/>
          <w:rtl/>
        </w:rPr>
        <w:t>בשר קודש</w:t>
      </w:r>
      <w:r w:rsidRPr="00700A72">
        <w:rPr>
          <w:rFonts w:hint="cs"/>
          <w:sz w:val="24"/>
          <w:szCs w:val="24"/>
          <w:rtl/>
        </w:rPr>
        <w:t xml:space="preserve"> ושמן בדרגות טומאה שונות, ומשנה ז עוסקת </w:t>
      </w:r>
      <w:r w:rsidRPr="00700A72">
        <w:rPr>
          <w:rFonts w:hint="cs"/>
          <w:b/>
          <w:bCs/>
          <w:sz w:val="24"/>
          <w:szCs w:val="24"/>
          <w:rtl/>
        </w:rPr>
        <w:t>בשריפת</w:t>
      </w:r>
      <w:r w:rsidRPr="00700A72">
        <w:rPr>
          <w:rFonts w:hint="cs"/>
          <w:sz w:val="24"/>
          <w:szCs w:val="24"/>
          <w:rtl/>
        </w:rPr>
        <w:t xml:space="preserve"> חמץ (תרומה) בדרגות טומאה/טהרה שונות:</w:t>
      </w:r>
      <w:r w:rsidRPr="00A748C8">
        <w:rPr>
          <w:rStyle w:val="a7"/>
          <w:rFonts w:eastAsiaTheme="majorEastAsia"/>
          <w:sz w:val="18"/>
          <w:szCs w:val="18"/>
          <w:rtl/>
        </w:rPr>
        <w:footnoteReference w:id="12"/>
      </w:r>
    </w:p>
    <w:p w:rsidR="00700A72" w:rsidRPr="00700A72" w:rsidRDefault="00700A72" w:rsidP="00700A72">
      <w:pPr>
        <w:spacing w:line="480" w:lineRule="auto"/>
        <w:ind w:left="720"/>
        <w:rPr>
          <w:sz w:val="24"/>
          <w:szCs w:val="24"/>
        </w:rPr>
      </w:pPr>
      <w:r w:rsidRPr="00700A72">
        <w:rPr>
          <w:rFonts w:hint="cs"/>
          <w:sz w:val="24"/>
          <w:szCs w:val="24"/>
          <w:rtl/>
        </w:rPr>
        <w:t xml:space="preserve">ו </w:t>
      </w:r>
      <w:r w:rsidR="008B31EC">
        <w:rPr>
          <w:rFonts w:hint="cs"/>
          <w:sz w:val="24"/>
          <w:szCs w:val="24"/>
          <w:rtl/>
        </w:rPr>
        <w:t>"</w:t>
      </w:r>
      <w:r w:rsidRPr="00700A72">
        <w:rPr>
          <w:sz w:val="24"/>
          <w:szCs w:val="24"/>
          <w:rtl/>
        </w:rPr>
        <w:t>רבי חנינא סגן הכהנים אומר מימיהם של כהנים לא נמנעו מלשרוף את הבשר שנטמא בוולד הטומאה עם הבשר שנטמא באב הטומאה אעפ"י שמוסיפין טומאה על טומאתו</w:t>
      </w:r>
      <w:r w:rsidRPr="00700A72">
        <w:rPr>
          <w:rFonts w:hint="cs"/>
          <w:sz w:val="24"/>
          <w:szCs w:val="24"/>
          <w:rtl/>
        </w:rPr>
        <w:t>.</w:t>
      </w:r>
      <w:r w:rsidRPr="00700A72">
        <w:rPr>
          <w:sz w:val="24"/>
          <w:szCs w:val="24"/>
          <w:rtl/>
        </w:rPr>
        <w:t xml:space="preserve"> הוסיף ר' עקיבא ואמר מימיהם של כהנים לא נמנעו מלהדליק את השמן שנפסל בטבול יום בנר שנטמא בטמא מת אף על פי שמוסיפין טומאה על טומאתו</w:t>
      </w:r>
      <w:r w:rsidRPr="00700A72">
        <w:rPr>
          <w:rFonts w:hint="cs"/>
          <w:sz w:val="24"/>
          <w:szCs w:val="24"/>
          <w:rtl/>
        </w:rPr>
        <w:t>.</w:t>
      </w:r>
    </w:p>
    <w:p w:rsidR="00700A72" w:rsidRPr="00700A72" w:rsidRDefault="00700A72" w:rsidP="00700A72">
      <w:pPr>
        <w:spacing w:line="480" w:lineRule="auto"/>
        <w:ind w:left="720"/>
        <w:rPr>
          <w:sz w:val="24"/>
          <w:szCs w:val="24"/>
          <w:rtl/>
        </w:rPr>
      </w:pPr>
      <w:r w:rsidRPr="00700A72">
        <w:rPr>
          <w:rFonts w:hint="cs"/>
          <w:sz w:val="24"/>
          <w:szCs w:val="24"/>
          <w:rtl/>
        </w:rPr>
        <w:t xml:space="preserve">ז </w:t>
      </w:r>
      <w:r w:rsidRPr="00700A72">
        <w:rPr>
          <w:sz w:val="24"/>
          <w:szCs w:val="24"/>
          <w:rtl/>
        </w:rPr>
        <w:t>אמר ר' מאיר מדבריהם למדנו ששורפין תרומה טהורה עם הטמאה בפסח אמר לו רבי יוסי אינה היא המדה ומודים רבי אליעזר ורבי יהושע ששורפין זו לעצמה וזו לעצמה על מה נחלקו על התלויה ועל הטמאה שר' אליעזר אומר תשרף זו לעצמה וזו לעצמה ורבי יהושע אומר שתיהן כאחת</w:t>
      </w:r>
      <w:r w:rsidR="008B31EC">
        <w:rPr>
          <w:rFonts w:hint="cs"/>
          <w:sz w:val="24"/>
          <w:szCs w:val="24"/>
          <w:rtl/>
        </w:rPr>
        <w:t>"</w:t>
      </w:r>
      <w:r w:rsidR="00F9549F">
        <w:rPr>
          <w:rFonts w:hint="cs"/>
          <w:sz w:val="24"/>
          <w:szCs w:val="24"/>
          <w:rtl/>
        </w:rPr>
        <w:t>.</w:t>
      </w:r>
      <w:r w:rsidRPr="00700A72">
        <w:rPr>
          <w:sz w:val="24"/>
          <w:szCs w:val="24"/>
          <w:rtl/>
        </w:rPr>
        <w:t xml:space="preserve"> </w:t>
      </w:r>
      <w:r w:rsidRPr="00700A72">
        <w:rPr>
          <w:rFonts w:hint="cs"/>
          <w:sz w:val="24"/>
          <w:szCs w:val="24"/>
          <w:rtl/>
        </w:rPr>
        <w:t xml:space="preserve"> </w:t>
      </w:r>
    </w:p>
    <w:p w:rsidR="00700A72" w:rsidRPr="00700A72" w:rsidRDefault="00700A72" w:rsidP="003B6E4D">
      <w:pPr>
        <w:spacing w:line="480" w:lineRule="auto"/>
        <w:rPr>
          <w:sz w:val="24"/>
          <w:szCs w:val="24"/>
          <w:rtl/>
        </w:rPr>
      </w:pPr>
      <w:r w:rsidRPr="00700A72">
        <w:rPr>
          <w:rFonts w:hint="cs"/>
          <w:sz w:val="24"/>
          <w:szCs w:val="24"/>
          <w:rtl/>
        </w:rPr>
        <w:lastRenderedPageBreak/>
        <w:t>בחתימתו של פרק ג' אנו פוגשים תופעה דומה: אף כאן החתימה מורכבת מצמד משניות, ש</w:t>
      </w:r>
      <w:r w:rsidR="00856A30">
        <w:rPr>
          <w:rFonts w:hint="cs"/>
          <w:sz w:val="24"/>
          <w:szCs w:val="24"/>
          <w:rtl/>
        </w:rPr>
        <w:t>האחת עוסקת בענייני חמץ</w:t>
      </w:r>
      <w:r w:rsidRPr="00700A72">
        <w:rPr>
          <w:rFonts w:hint="cs"/>
          <w:sz w:val="24"/>
          <w:szCs w:val="24"/>
          <w:rtl/>
        </w:rPr>
        <w:t xml:space="preserve">, </w:t>
      </w:r>
      <w:r w:rsidR="003B6E4D">
        <w:rPr>
          <w:rFonts w:hint="cs"/>
          <w:sz w:val="24"/>
          <w:szCs w:val="24"/>
          <w:rtl/>
        </w:rPr>
        <w:t xml:space="preserve">והשנייה </w:t>
      </w:r>
      <w:r w:rsidRPr="00700A72">
        <w:rPr>
          <w:rFonts w:hint="cs"/>
          <w:sz w:val="24"/>
          <w:szCs w:val="24"/>
          <w:rtl/>
        </w:rPr>
        <w:t>מנוסחת באופן דומה</w:t>
      </w:r>
      <w:r w:rsidR="003B6E4D">
        <w:rPr>
          <w:rFonts w:hint="cs"/>
          <w:sz w:val="24"/>
          <w:szCs w:val="24"/>
          <w:rtl/>
        </w:rPr>
        <w:t xml:space="preserve"> </w:t>
      </w:r>
      <w:r w:rsidRPr="00700A72">
        <w:rPr>
          <w:rFonts w:hint="cs"/>
          <w:sz w:val="24"/>
          <w:szCs w:val="24"/>
          <w:rtl/>
        </w:rPr>
        <w:t>מאד</w:t>
      </w:r>
      <w:r w:rsidR="003B6E4D">
        <w:rPr>
          <w:rFonts w:hint="cs"/>
          <w:sz w:val="24"/>
          <w:szCs w:val="24"/>
          <w:rtl/>
        </w:rPr>
        <w:t xml:space="preserve"> לחברתה</w:t>
      </w:r>
      <w:r w:rsidRPr="00700A72">
        <w:rPr>
          <w:rFonts w:hint="cs"/>
          <w:sz w:val="24"/>
          <w:szCs w:val="24"/>
          <w:rtl/>
        </w:rPr>
        <w:t>,</w:t>
      </w:r>
      <w:r w:rsidR="003B6E4D">
        <w:rPr>
          <w:rFonts w:hint="cs"/>
          <w:sz w:val="24"/>
          <w:szCs w:val="24"/>
          <w:rtl/>
        </w:rPr>
        <w:t xml:space="preserve"> אך</w:t>
      </w:r>
      <w:r w:rsidR="00856A30">
        <w:rPr>
          <w:rFonts w:hint="cs"/>
          <w:sz w:val="24"/>
          <w:szCs w:val="24"/>
          <w:rtl/>
        </w:rPr>
        <w:t xml:space="preserve"> איננה קשורה ישירות לנושא הפרק</w:t>
      </w:r>
      <w:r w:rsidRPr="00700A72">
        <w:rPr>
          <w:rFonts w:hint="cs"/>
          <w:sz w:val="24"/>
          <w:szCs w:val="24"/>
          <w:rtl/>
        </w:rPr>
        <w:t xml:space="preserve"> אלא</w:t>
      </w:r>
      <w:r w:rsidR="00856A30">
        <w:rPr>
          <w:rFonts w:hint="cs"/>
          <w:sz w:val="24"/>
          <w:szCs w:val="24"/>
          <w:rtl/>
        </w:rPr>
        <w:t xml:space="preserve"> עוסקת</w:t>
      </w:r>
      <w:r w:rsidRPr="00700A72">
        <w:rPr>
          <w:rFonts w:hint="cs"/>
          <w:sz w:val="24"/>
          <w:szCs w:val="24"/>
          <w:rtl/>
        </w:rPr>
        <w:t xml:space="preserve"> </w:t>
      </w:r>
      <w:r w:rsidRPr="00700A72">
        <w:rPr>
          <w:rFonts w:hint="cs"/>
          <w:b/>
          <w:bCs/>
          <w:sz w:val="24"/>
          <w:szCs w:val="24"/>
          <w:rtl/>
        </w:rPr>
        <w:t>בשריפת בשר קודש</w:t>
      </w:r>
      <w:r w:rsidR="003B6E4D">
        <w:rPr>
          <w:rStyle w:val="a7"/>
          <w:rtl/>
        </w:rPr>
        <w:footnoteReference w:id="13"/>
      </w:r>
      <w:r w:rsidRPr="00700A72">
        <w:rPr>
          <w:rFonts w:hint="cs"/>
          <w:sz w:val="24"/>
          <w:szCs w:val="24"/>
          <w:rtl/>
        </w:rPr>
        <w:t>: משנה ז עוסקת במי שנזכר שיש לו חמץ בביתו ובאופ</w:t>
      </w:r>
      <w:r w:rsidR="003B6E4D">
        <w:rPr>
          <w:rFonts w:hint="cs"/>
          <w:sz w:val="24"/>
          <w:szCs w:val="24"/>
          <w:rtl/>
        </w:rPr>
        <w:t>ן ביעורו (במידת האפשר), ומשנה ח החותמת את הפרק עוסקת באופן</w:t>
      </w:r>
      <w:r w:rsidRPr="00700A72">
        <w:rPr>
          <w:rFonts w:hint="cs"/>
          <w:sz w:val="24"/>
          <w:szCs w:val="24"/>
          <w:rtl/>
        </w:rPr>
        <w:t xml:space="preserve"> דומה בשריפת בשר קודש:</w:t>
      </w:r>
      <w:r w:rsidRPr="00B4014E">
        <w:rPr>
          <w:rStyle w:val="a7"/>
          <w:rFonts w:eastAsiaTheme="majorEastAsia"/>
          <w:sz w:val="18"/>
          <w:szCs w:val="18"/>
          <w:rtl/>
        </w:rPr>
        <w:footnoteReference w:id="14"/>
      </w:r>
    </w:p>
    <w:p w:rsidR="00700A72" w:rsidRPr="00700A72" w:rsidRDefault="00700A72" w:rsidP="00700A72">
      <w:pPr>
        <w:spacing w:line="480" w:lineRule="auto"/>
        <w:ind w:left="720"/>
        <w:rPr>
          <w:sz w:val="24"/>
          <w:szCs w:val="24"/>
        </w:rPr>
      </w:pPr>
      <w:r w:rsidRPr="00700A72">
        <w:rPr>
          <w:rFonts w:hint="cs"/>
          <w:sz w:val="24"/>
          <w:szCs w:val="24"/>
          <w:rtl/>
        </w:rPr>
        <w:t xml:space="preserve">ז </w:t>
      </w:r>
      <w:r w:rsidR="008B31EC">
        <w:rPr>
          <w:rFonts w:hint="cs"/>
          <w:sz w:val="24"/>
          <w:szCs w:val="24"/>
          <w:rtl/>
        </w:rPr>
        <w:t>"</w:t>
      </w:r>
      <w:r w:rsidRPr="00700A72">
        <w:rPr>
          <w:sz w:val="24"/>
          <w:szCs w:val="24"/>
          <w:rtl/>
        </w:rPr>
        <w:t xml:space="preserve">ההולך לשחוט את פסחו ולמול את בנו ולאכול סעודת אירוסין בבית חמיו </w:t>
      </w:r>
      <w:r w:rsidRPr="00700A72">
        <w:rPr>
          <w:b/>
          <w:bCs/>
          <w:sz w:val="24"/>
          <w:szCs w:val="24"/>
          <w:rtl/>
        </w:rPr>
        <w:t>ונזכר שיש לו</w:t>
      </w:r>
      <w:r w:rsidRPr="00700A72">
        <w:rPr>
          <w:sz w:val="24"/>
          <w:szCs w:val="24"/>
          <w:rtl/>
        </w:rPr>
        <w:t xml:space="preserve"> חמץ בתוך ביתו </w:t>
      </w:r>
      <w:r w:rsidRPr="00700A72">
        <w:rPr>
          <w:b/>
          <w:bCs/>
          <w:sz w:val="24"/>
          <w:szCs w:val="24"/>
          <w:rtl/>
        </w:rPr>
        <w:t>אם</w:t>
      </w:r>
      <w:r w:rsidRPr="00700A72">
        <w:rPr>
          <w:sz w:val="24"/>
          <w:szCs w:val="24"/>
          <w:rtl/>
        </w:rPr>
        <w:t xml:space="preserve"> יכול לחזור ולבער ולחזור למצותו יחזור ויבער </w:t>
      </w:r>
      <w:r w:rsidRPr="00700A72">
        <w:rPr>
          <w:b/>
          <w:bCs/>
          <w:sz w:val="24"/>
          <w:szCs w:val="24"/>
          <w:rtl/>
        </w:rPr>
        <w:t>ואם לאו</w:t>
      </w:r>
      <w:r w:rsidRPr="00700A72">
        <w:rPr>
          <w:sz w:val="24"/>
          <w:szCs w:val="24"/>
          <w:rtl/>
        </w:rPr>
        <w:t xml:space="preserve"> מבטלו בלבו להציל מן הנכרים [ס"א הגייס] ומן הנהר ומן הלסטים ומן הדליקה ומן המפולת יבטל בלבו ולשבות שביתת הרשות יחזור מיד</w:t>
      </w:r>
      <w:r w:rsidRPr="00700A72">
        <w:rPr>
          <w:rFonts w:hint="cs"/>
          <w:sz w:val="24"/>
          <w:szCs w:val="24"/>
          <w:rtl/>
        </w:rPr>
        <w:t>.</w:t>
      </w:r>
      <w:r w:rsidRPr="00700A72">
        <w:rPr>
          <w:sz w:val="24"/>
          <w:szCs w:val="24"/>
          <w:rtl/>
        </w:rPr>
        <w:t xml:space="preserve"> </w:t>
      </w:r>
    </w:p>
    <w:p w:rsidR="00700A72" w:rsidRPr="00700A72" w:rsidRDefault="00700A72" w:rsidP="00700A72">
      <w:pPr>
        <w:spacing w:line="480" w:lineRule="auto"/>
        <w:ind w:left="720"/>
        <w:rPr>
          <w:sz w:val="24"/>
          <w:szCs w:val="24"/>
          <w:rtl/>
        </w:rPr>
      </w:pPr>
      <w:r w:rsidRPr="00700A72">
        <w:rPr>
          <w:rFonts w:hint="cs"/>
          <w:sz w:val="24"/>
          <w:szCs w:val="24"/>
          <w:rtl/>
        </w:rPr>
        <w:t xml:space="preserve">ח </w:t>
      </w:r>
      <w:r w:rsidRPr="00700A72">
        <w:rPr>
          <w:sz w:val="24"/>
          <w:szCs w:val="24"/>
          <w:rtl/>
        </w:rPr>
        <w:t>וכן מי שיצא מירושלם ונזכר שיש בידו בשר קודש אם עבר צופים שורפו במקומו ואם לאו חוזר ושורפו לפני הבירה מעצי המערכה ועד כמה הן חוזרין רבי מאיר אומר זה וזה בכביצה רבי יהודה אומר זה וזה בכזית וחכמים אומרים בשר קודש בכזית וחמץ בכביצה</w:t>
      </w:r>
      <w:r w:rsidR="008B31EC">
        <w:rPr>
          <w:rFonts w:hint="cs"/>
          <w:sz w:val="24"/>
          <w:szCs w:val="24"/>
          <w:rtl/>
        </w:rPr>
        <w:t>."</w:t>
      </w:r>
    </w:p>
    <w:p w:rsidR="003B6E4D" w:rsidRDefault="00071D0F" w:rsidP="00071D0F">
      <w:pPr>
        <w:spacing w:line="480" w:lineRule="auto"/>
        <w:rPr>
          <w:sz w:val="24"/>
          <w:szCs w:val="24"/>
          <w:rtl/>
        </w:rPr>
      </w:pPr>
      <w:r>
        <w:rPr>
          <w:rFonts w:hint="cs"/>
          <w:sz w:val="24"/>
          <w:szCs w:val="24"/>
          <w:rtl/>
        </w:rPr>
        <w:t>כדאי לציין עוד, כי לנושא הנדון</w:t>
      </w:r>
      <w:r w:rsidR="00700A72" w:rsidRPr="00700A72">
        <w:rPr>
          <w:rFonts w:hint="cs"/>
          <w:sz w:val="24"/>
          <w:szCs w:val="24"/>
          <w:rtl/>
        </w:rPr>
        <w:t xml:space="preserve"> ביעור החמץ/שריפתו, מתקשרת גם המשנה הראשונה בפרק ב': </w:t>
      </w:r>
    </w:p>
    <w:p w:rsidR="003B6E4D" w:rsidRDefault="00071D0F" w:rsidP="00CE72E5">
      <w:pPr>
        <w:pStyle w:val="aa"/>
        <w:rPr>
          <w:rtl/>
        </w:rPr>
      </w:pPr>
      <w:r>
        <w:rPr>
          <w:rFonts w:hint="cs"/>
          <w:rtl/>
        </w:rPr>
        <w:t xml:space="preserve">  </w:t>
      </w:r>
      <w:r w:rsidR="008B31EC">
        <w:rPr>
          <w:rFonts w:hint="cs"/>
          <w:rtl/>
        </w:rPr>
        <w:t>"</w:t>
      </w:r>
      <w:r w:rsidR="00700A72" w:rsidRPr="00700A72">
        <w:rPr>
          <w:rFonts w:hint="cs"/>
          <w:rtl/>
        </w:rPr>
        <w:t>רבי יה</w:t>
      </w:r>
      <w:r w:rsidR="008B31EC">
        <w:rPr>
          <w:rFonts w:hint="cs"/>
          <w:rtl/>
        </w:rPr>
        <w:t>ודה אומר אין ביעור חמץ אלא שרפה"</w:t>
      </w:r>
      <w:r w:rsidR="00700A72" w:rsidRPr="00700A72">
        <w:rPr>
          <w:rFonts w:hint="cs"/>
          <w:rtl/>
        </w:rPr>
        <w:t xml:space="preserve">. </w:t>
      </w:r>
    </w:p>
    <w:p w:rsidR="00700A72" w:rsidRPr="00700A72" w:rsidRDefault="00700A72" w:rsidP="00071D0F">
      <w:pPr>
        <w:spacing w:line="480" w:lineRule="auto"/>
        <w:rPr>
          <w:sz w:val="24"/>
          <w:szCs w:val="24"/>
          <w:rtl/>
        </w:rPr>
      </w:pPr>
      <w:r w:rsidRPr="00700A72">
        <w:rPr>
          <w:rFonts w:hint="cs"/>
          <w:sz w:val="24"/>
          <w:szCs w:val="24"/>
          <w:rtl/>
        </w:rPr>
        <w:t>קישור זה מחזק את הלכידות של היחידה כולה.</w:t>
      </w:r>
    </w:p>
    <w:p w:rsidR="00700A72" w:rsidRPr="008B31EC" w:rsidRDefault="00700A72" w:rsidP="00700A72">
      <w:pPr>
        <w:spacing w:line="480" w:lineRule="auto"/>
        <w:rPr>
          <w:sz w:val="24"/>
          <w:szCs w:val="24"/>
          <w:u w:val="single"/>
          <w:rtl/>
        </w:rPr>
      </w:pPr>
      <w:r w:rsidRPr="008B31EC">
        <w:rPr>
          <w:rFonts w:hint="cs"/>
          <w:sz w:val="24"/>
          <w:szCs w:val="24"/>
          <w:u w:val="single"/>
          <w:rtl/>
        </w:rPr>
        <w:t>ב. המשנה שלפני החתימה:</w:t>
      </w:r>
    </w:p>
    <w:p w:rsidR="00700A72" w:rsidRDefault="00700A72" w:rsidP="008B31EC">
      <w:pPr>
        <w:spacing w:line="480" w:lineRule="auto"/>
        <w:rPr>
          <w:sz w:val="24"/>
          <w:szCs w:val="24"/>
          <w:rtl/>
        </w:rPr>
      </w:pPr>
      <w:r w:rsidRPr="00700A72">
        <w:rPr>
          <w:rFonts w:hint="cs"/>
          <w:sz w:val="24"/>
          <w:szCs w:val="24"/>
          <w:rtl/>
        </w:rPr>
        <w:t>בהמשך להקבלה בין חתימות הפרקים א' וג' ישנה הקבלה מילולית ותוכנית גם בין המשנה שקודמת לחתימת פרק א' לזו שבפרק ג':</w:t>
      </w:r>
    </w:p>
    <w:p w:rsidR="008B31EC" w:rsidRDefault="008B31EC" w:rsidP="008B31EC">
      <w:pPr>
        <w:spacing w:line="480" w:lineRule="auto"/>
        <w:rPr>
          <w:rtl/>
        </w:rPr>
      </w:pPr>
      <w:r>
        <w:rPr>
          <w:rFonts w:hint="cs"/>
          <w:sz w:val="24"/>
          <w:szCs w:val="24"/>
          <w:rtl/>
        </w:rPr>
        <w:t>פרק א' משנה ה':</w:t>
      </w:r>
    </w:p>
    <w:p w:rsidR="00700A72" w:rsidRPr="00700A72" w:rsidRDefault="008B31EC" w:rsidP="00CE72E5">
      <w:pPr>
        <w:pStyle w:val="aa"/>
        <w:rPr>
          <w:rtl/>
        </w:rPr>
      </w:pPr>
      <w:r>
        <w:rPr>
          <w:rFonts w:hint="cs"/>
          <w:rtl/>
        </w:rPr>
        <w:t>"</w:t>
      </w:r>
      <w:r w:rsidR="00700A72" w:rsidRPr="00700A72">
        <w:rPr>
          <w:rtl/>
        </w:rPr>
        <w:t xml:space="preserve">ועוד אמר רבי יהודה </w:t>
      </w:r>
      <w:r w:rsidR="00700A72" w:rsidRPr="00700A72">
        <w:rPr>
          <w:b/>
          <w:bCs/>
          <w:rtl/>
        </w:rPr>
        <w:t>שתי חלות של תודה</w:t>
      </w:r>
      <w:r w:rsidR="00700A72" w:rsidRPr="00700A72">
        <w:rPr>
          <w:rtl/>
        </w:rPr>
        <w:t xml:space="preserve"> פסולות ומונחות על גג האיצטבא</w:t>
      </w:r>
      <w:r w:rsidR="00700A72" w:rsidRPr="00700A72">
        <w:rPr>
          <w:rFonts w:hint="cs"/>
          <w:rtl/>
        </w:rPr>
        <w:t>,</w:t>
      </w:r>
      <w:r w:rsidR="00700A72" w:rsidRPr="00700A72">
        <w:rPr>
          <w:rtl/>
        </w:rPr>
        <w:t xml:space="preserve"> כל זמן שמונחות כל העם אוכלים</w:t>
      </w:r>
      <w:r w:rsidR="00700A72" w:rsidRPr="00700A72">
        <w:rPr>
          <w:rFonts w:hint="cs"/>
          <w:rtl/>
        </w:rPr>
        <w:t>.</w:t>
      </w:r>
      <w:r w:rsidR="00700A72" w:rsidRPr="00700A72">
        <w:rPr>
          <w:rtl/>
        </w:rPr>
        <w:t xml:space="preserve"> ניטלה אחת –</w:t>
      </w:r>
      <w:r w:rsidR="00700A72" w:rsidRPr="00700A72">
        <w:rPr>
          <w:rFonts w:hint="cs"/>
          <w:rtl/>
        </w:rPr>
        <w:t xml:space="preserve"> </w:t>
      </w:r>
      <w:r w:rsidR="00700A72" w:rsidRPr="00700A72">
        <w:rPr>
          <w:rtl/>
        </w:rPr>
        <w:t>תולין</w:t>
      </w:r>
      <w:r w:rsidR="00700A72" w:rsidRPr="00700A72">
        <w:rPr>
          <w:rFonts w:hint="cs"/>
          <w:rtl/>
        </w:rPr>
        <w:t>,</w:t>
      </w:r>
      <w:r w:rsidR="00700A72" w:rsidRPr="00700A72">
        <w:rPr>
          <w:rtl/>
        </w:rPr>
        <w:t xml:space="preserve"> לא אוכלין ולא שורפין</w:t>
      </w:r>
      <w:r w:rsidR="00700A72" w:rsidRPr="00700A72">
        <w:rPr>
          <w:rFonts w:hint="cs"/>
          <w:rtl/>
        </w:rPr>
        <w:t>.</w:t>
      </w:r>
      <w:r w:rsidR="00700A72" w:rsidRPr="00700A72">
        <w:rPr>
          <w:rtl/>
        </w:rPr>
        <w:t xml:space="preserve"> ניטלו שתיהן</w:t>
      </w:r>
      <w:r w:rsidR="00700A72" w:rsidRPr="00700A72">
        <w:rPr>
          <w:rFonts w:hint="cs"/>
          <w:rtl/>
        </w:rPr>
        <w:t>,</w:t>
      </w:r>
      <w:r w:rsidR="00700A72" w:rsidRPr="00700A72">
        <w:rPr>
          <w:rtl/>
        </w:rPr>
        <w:t xml:space="preserve"> התחילו כל העם שורפין</w:t>
      </w:r>
      <w:r w:rsidR="00700A72" w:rsidRPr="00700A72">
        <w:rPr>
          <w:rFonts w:hint="cs"/>
          <w:rtl/>
        </w:rPr>
        <w:t>.</w:t>
      </w:r>
      <w:r w:rsidR="00700A72" w:rsidRPr="00700A72">
        <w:rPr>
          <w:rtl/>
        </w:rPr>
        <w:t xml:space="preserve"> ר"ג אומר חולין נאכלים כל ד' ותרומה כל ה' ושורפין בתחילת שש</w:t>
      </w:r>
      <w:r>
        <w:rPr>
          <w:rFonts w:hint="cs"/>
          <w:rtl/>
        </w:rPr>
        <w:t>".</w:t>
      </w:r>
      <w:r w:rsidR="00700A72" w:rsidRPr="00700A72">
        <w:rPr>
          <w:rtl/>
        </w:rPr>
        <w:t xml:space="preserve"> </w:t>
      </w:r>
      <w:r w:rsidR="00700A72" w:rsidRPr="00700A72">
        <w:rPr>
          <w:rFonts w:hint="cs"/>
          <w:rtl/>
        </w:rPr>
        <w:t xml:space="preserve"> </w:t>
      </w:r>
    </w:p>
    <w:p w:rsidR="008B31EC" w:rsidRDefault="008B31EC" w:rsidP="008B31EC">
      <w:pPr>
        <w:spacing w:line="480" w:lineRule="auto"/>
        <w:rPr>
          <w:sz w:val="24"/>
          <w:szCs w:val="24"/>
          <w:rtl/>
        </w:rPr>
      </w:pPr>
      <w:r>
        <w:rPr>
          <w:rFonts w:hint="cs"/>
          <w:sz w:val="24"/>
          <w:szCs w:val="24"/>
          <w:rtl/>
        </w:rPr>
        <w:t>פרק ג' משנה ו':</w:t>
      </w:r>
    </w:p>
    <w:p w:rsidR="00700A72" w:rsidRPr="00700A72" w:rsidRDefault="008B31EC" w:rsidP="00CE72E5">
      <w:pPr>
        <w:pStyle w:val="aa"/>
        <w:rPr>
          <w:rtl/>
        </w:rPr>
      </w:pPr>
      <w:r>
        <w:rPr>
          <w:rFonts w:hint="cs"/>
          <w:rtl/>
        </w:rPr>
        <w:t>"</w:t>
      </w:r>
      <w:r w:rsidR="00700A72" w:rsidRPr="00700A72">
        <w:rPr>
          <w:rtl/>
        </w:rPr>
        <w:t>ארבעה עשר שחל להיות בשבת מבערים את הכל מלפני השבת דברי רבי מאיר וחכמים אומרים בזמנן רבי אלעזר בר צדוק אומר תרומה מלפני השבת וחולין בזמנן</w:t>
      </w:r>
      <w:r>
        <w:rPr>
          <w:rFonts w:hint="cs"/>
          <w:rtl/>
        </w:rPr>
        <w:t>".</w:t>
      </w:r>
    </w:p>
    <w:p w:rsidR="00700A72" w:rsidRPr="00700A72" w:rsidRDefault="00700A72" w:rsidP="00700A72">
      <w:pPr>
        <w:spacing w:line="480" w:lineRule="auto"/>
        <w:rPr>
          <w:sz w:val="24"/>
          <w:szCs w:val="24"/>
          <w:rtl/>
        </w:rPr>
      </w:pPr>
      <w:r w:rsidRPr="00700A72">
        <w:rPr>
          <w:rFonts w:hint="cs"/>
          <w:sz w:val="24"/>
          <w:szCs w:val="24"/>
          <w:rtl/>
        </w:rPr>
        <w:t xml:space="preserve">בשתי המשניות המקבילות הללו מוצע חילוק בין חמץ חולין לחמץ תרומה בנוגע לזמני הביעור. בפ"א מ"ה קובע רבן גמליאל כי חמץ חולין נאכל עד סוף שעה </w:t>
      </w:r>
      <w:r w:rsidR="00071D0F">
        <w:rPr>
          <w:rFonts w:hint="cs"/>
          <w:sz w:val="24"/>
          <w:szCs w:val="24"/>
          <w:rtl/>
        </w:rPr>
        <w:t>רביעית ותרומה עד סוף שעה חמישית,</w:t>
      </w:r>
      <w:r w:rsidRPr="00700A72">
        <w:rPr>
          <w:rFonts w:hint="cs"/>
          <w:sz w:val="24"/>
          <w:szCs w:val="24"/>
          <w:rtl/>
        </w:rPr>
        <w:t xml:space="preserve"> ואילו בפ"ג מ"ו קובע ר' אלעזר בר' צדוק כי בי"ד שחל בשבת מבערים 'תרומה לפני השבת וחולין בזמנן'.</w:t>
      </w:r>
      <w:r w:rsidRPr="008B31EC">
        <w:rPr>
          <w:rStyle w:val="a7"/>
          <w:rFonts w:eastAsiaTheme="majorEastAsia"/>
          <w:sz w:val="18"/>
          <w:szCs w:val="18"/>
          <w:rtl/>
        </w:rPr>
        <w:footnoteReference w:id="15"/>
      </w:r>
      <w:r w:rsidRPr="00700A72">
        <w:rPr>
          <w:rFonts w:hint="cs"/>
          <w:sz w:val="24"/>
          <w:szCs w:val="24"/>
          <w:rtl/>
        </w:rPr>
        <w:t xml:space="preserve"> הקבלה זו מצטרפת לקודמת, ויוצרת זיקה משמעותית בין שני הפרקים שבקצוות היחידה הנדונה. אגב, אף בהקשר </w:t>
      </w:r>
      <w:r w:rsidRPr="00700A72">
        <w:rPr>
          <w:rFonts w:hint="cs"/>
          <w:sz w:val="24"/>
          <w:szCs w:val="24"/>
          <w:rtl/>
        </w:rPr>
        <w:lastRenderedPageBreak/>
        <w:t xml:space="preserve">זה קיים </w:t>
      </w:r>
      <w:r w:rsidR="00071D0F">
        <w:rPr>
          <w:rFonts w:hint="cs"/>
          <w:sz w:val="24"/>
          <w:szCs w:val="24"/>
          <w:rtl/>
        </w:rPr>
        <w:t xml:space="preserve">קישור לפרק האמצעי, שכן משנה ד' </w:t>
      </w:r>
      <w:r w:rsidRPr="00700A72">
        <w:rPr>
          <w:rFonts w:hint="cs"/>
          <w:sz w:val="24"/>
          <w:szCs w:val="24"/>
          <w:rtl/>
        </w:rPr>
        <w:t>עוסקת באוכל תרומת חמץ בפסח.</w:t>
      </w:r>
    </w:p>
    <w:p w:rsidR="00700A72" w:rsidRPr="00700A72" w:rsidRDefault="00700A72" w:rsidP="00902344">
      <w:pPr>
        <w:spacing w:line="480" w:lineRule="auto"/>
        <w:rPr>
          <w:sz w:val="24"/>
          <w:szCs w:val="24"/>
          <w:rtl/>
        </w:rPr>
      </w:pPr>
      <w:r w:rsidRPr="00700A72">
        <w:rPr>
          <w:rFonts w:hint="cs"/>
          <w:sz w:val="24"/>
          <w:szCs w:val="24"/>
          <w:rtl/>
        </w:rPr>
        <w:t>ניתן להוסיף קשר בין פתיחת היחידה לסופה, דרך מקור תנאי נוסף. היחידה פותחת בפרק א' משנה א בדין בדיקת החמץ לאור הנר. הטעם לדי</w:t>
      </w:r>
      <w:r w:rsidR="00071D0F">
        <w:rPr>
          <w:rFonts w:hint="cs"/>
          <w:sz w:val="24"/>
          <w:szCs w:val="24"/>
          <w:rtl/>
        </w:rPr>
        <w:t xml:space="preserve">ן אינו </w:t>
      </w:r>
      <w:r w:rsidR="00902344">
        <w:rPr>
          <w:rFonts w:hint="cs"/>
          <w:sz w:val="24"/>
          <w:szCs w:val="24"/>
          <w:rtl/>
        </w:rPr>
        <w:t xml:space="preserve">ניתן במשנה, אך ההלכה הראשנה בתוספתא </w:t>
      </w:r>
      <w:r w:rsidRPr="00700A72">
        <w:rPr>
          <w:rFonts w:hint="cs"/>
          <w:sz w:val="24"/>
          <w:szCs w:val="24"/>
          <w:rtl/>
        </w:rPr>
        <w:t xml:space="preserve">שונה: </w:t>
      </w:r>
    </w:p>
    <w:p w:rsidR="00700A72" w:rsidRDefault="00071D0F" w:rsidP="00700A72">
      <w:pPr>
        <w:spacing w:line="480" w:lineRule="auto"/>
        <w:ind w:left="720"/>
        <w:rPr>
          <w:sz w:val="24"/>
          <w:szCs w:val="24"/>
          <w:rtl/>
        </w:rPr>
      </w:pPr>
      <w:r>
        <w:rPr>
          <w:rFonts w:hint="cs"/>
          <w:sz w:val="24"/>
          <w:szCs w:val="24"/>
          <w:rtl/>
        </w:rPr>
        <w:t>"</w:t>
      </w:r>
      <w:r w:rsidR="00700A72" w:rsidRPr="00700A72">
        <w:rPr>
          <w:rFonts w:hint="cs"/>
          <w:sz w:val="24"/>
          <w:szCs w:val="24"/>
          <w:rtl/>
        </w:rPr>
        <w:t xml:space="preserve">לפי שבדיקת הנר יפה מרובה. אע"פ שאין ראיה לדבר זכר לדבר, 'והיה בעת ההיא אחפש את </w:t>
      </w:r>
      <w:r w:rsidR="00700A72" w:rsidRPr="00700A72">
        <w:rPr>
          <w:rFonts w:hint="cs"/>
          <w:b/>
          <w:bCs/>
          <w:sz w:val="24"/>
          <w:szCs w:val="24"/>
          <w:rtl/>
        </w:rPr>
        <w:t>ירושלם</w:t>
      </w:r>
      <w:r w:rsidR="00700A72" w:rsidRPr="00700A72">
        <w:rPr>
          <w:rFonts w:hint="cs"/>
          <w:sz w:val="24"/>
          <w:szCs w:val="24"/>
          <w:rtl/>
        </w:rPr>
        <w:t xml:space="preserve"> בנרות...'.</w:t>
      </w:r>
      <w:r>
        <w:rPr>
          <w:rFonts w:hint="cs"/>
          <w:sz w:val="24"/>
          <w:szCs w:val="24"/>
          <w:rtl/>
        </w:rPr>
        <w:t>"</w:t>
      </w:r>
      <w:r w:rsidR="00700A72" w:rsidRPr="00700A72">
        <w:rPr>
          <w:rFonts w:hint="cs"/>
          <w:sz w:val="24"/>
          <w:szCs w:val="24"/>
          <w:rtl/>
        </w:rPr>
        <w:t xml:space="preserve"> </w:t>
      </w:r>
    </w:p>
    <w:p w:rsidR="00902344" w:rsidRPr="00902344" w:rsidRDefault="00902344" w:rsidP="00902344">
      <w:pPr>
        <w:spacing w:line="480" w:lineRule="auto"/>
        <w:ind w:left="720"/>
        <w:jc w:val="right"/>
        <w:rPr>
          <w:sz w:val="22"/>
          <w:rtl/>
        </w:rPr>
      </w:pPr>
      <w:r w:rsidRPr="00902344">
        <w:rPr>
          <w:rFonts w:hint="cs"/>
          <w:sz w:val="22"/>
          <w:rtl/>
        </w:rPr>
        <w:t>(תוספתא פסחים א, א)</w:t>
      </w:r>
    </w:p>
    <w:p w:rsidR="00700A72" w:rsidRPr="00700A72" w:rsidRDefault="00700A72" w:rsidP="003721BA">
      <w:pPr>
        <w:spacing w:line="480" w:lineRule="auto"/>
        <w:rPr>
          <w:sz w:val="24"/>
          <w:szCs w:val="24"/>
          <w:rtl/>
        </w:rPr>
      </w:pPr>
      <w:r w:rsidRPr="00700A72">
        <w:rPr>
          <w:rFonts w:hint="cs"/>
          <w:sz w:val="24"/>
          <w:szCs w:val="24"/>
          <w:rtl/>
        </w:rPr>
        <w:t>אם נניח שרעיון זה</w:t>
      </w:r>
      <w:r w:rsidRPr="00902344">
        <w:rPr>
          <w:rStyle w:val="a7"/>
          <w:rFonts w:eastAsiaTheme="majorEastAsia"/>
          <w:sz w:val="18"/>
          <w:szCs w:val="18"/>
          <w:rtl/>
        </w:rPr>
        <w:footnoteReference w:id="16"/>
      </w:r>
      <w:r w:rsidRPr="00700A72">
        <w:rPr>
          <w:rFonts w:hint="cs"/>
          <w:sz w:val="24"/>
          <w:szCs w:val="24"/>
          <w:rtl/>
        </w:rPr>
        <w:t xml:space="preserve"> היה מוכר, לפחות בקרב התנאים של הדור האחרון, קיים קשר ספרותי</w:t>
      </w:r>
      <w:r w:rsidR="003721BA">
        <w:rPr>
          <w:rFonts w:hint="cs"/>
          <w:sz w:val="24"/>
          <w:szCs w:val="24"/>
          <w:rtl/>
        </w:rPr>
        <w:t xml:space="preserve"> בין ההקשר התנאי הרחב של משנה א מפרק</w:t>
      </w:r>
      <w:r w:rsidRPr="00700A72">
        <w:rPr>
          <w:rFonts w:hint="cs"/>
          <w:sz w:val="24"/>
          <w:szCs w:val="24"/>
          <w:rtl/>
        </w:rPr>
        <w:t xml:space="preserve"> א </w:t>
      </w:r>
      <w:r w:rsidR="003721BA">
        <w:rPr>
          <w:rFonts w:hint="cs"/>
          <w:sz w:val="24"/>
          <w:szCs w:val="24"/>
          <w:rtl/>
        </w:rPr>
        <w:t>יחד עם הרחבת התוספתא,</w:t>
      </w:r>
      <w:r w:rsidRPr="00700A72">
        <w:rPr>
          <w:rFonts w:hint="cs"/>
          <w:sz w:val="24"/>
          <w:szCs w:val="24"/>
          <w:rtl/>
        </w:rPr>
        <w:t xml:space="preserve"> לבין המשנה החותמת את היחידה בסוף פרק ג'. בפסוק שמובא בתוספתא מוזכרת ירושלים, ובמשנה </w:t>
      </w:r>
      <w:r w:rsidR="00902344">
        <w:rPr>
          <w:rFonts w:hint="cs"/>
          <w:sz w:val="24"/>
          <w:szCs w:val="24"/>
          <w:rtl/>
        </w:rPr>
        <w:t>האחרונה בפרק ג'</w:t>
      </w:r>
      <w:r w:rsidRPr="00700A72">
        <w:rPr>
          <w:rFonts w:hint="cs"/>
          <w:sz w:val="24"/>
          <w:szCs w:val="24"/>
          <w:rtl/>
        </w:rPr>
        <w:t xml:space="preserve"> מובא: 'וכן מי שיצא מירושלים'. ראוי לציין כי המילה 'ירושלים' מופיעה במסכת פסחים פ</w:t>
      </w:r>
      <w:r w:rsidR="00902344">
        <w:rPr>
          <w:rFonts w:hint="cs"/>
          <w:sz w:val="24"/>
          <w:szCs w:val="24"/>
          <w:rtl/>
        </w:rPr>
        <w:t>עמיים נוספות בלבד (ואחת מהן, פ"ז מ"</w:t>
      </w:r>
      <w:r w:rsidRPr="00700A72">
        <w:rPr>
          <w:rFonts w:hint="cs"/>
          <w:sz w:val="24"/>
          <w:szCs w:val="24"/>
          <w:rtl/>
        </w:rPr>
        <w:t>ג, גם היא אינה קשורה ישירות לפסח, אלא הוא דין כללי במעשר שני), אף שצפוי היה שתופיע יותר, לאור העיסוק האינטנסיבי בקרבן הפסח, שקרב ונאכל בירושלים.</w:t>
      </w:r>
    </w:p>
    <w:p w:rsidR="00700A72" w:rsidRPr="00700A72" w:rsidRDefault="00700A72" w:rsidP="004F7C01">
      <w:pPr>
        <w:spacing w:line="480" w:lineRule="auto"/>
        <w:rPr>
          <w:sz w:val="24"/>
          <w:szCs w:val="24"/>
          <w:rtl/>
        </w:rPr>
      </w:pPr>
      <w:r w:rsidRPr="00700A72">
        <w:rPr>
          <w:rFonts w:hint="cs"/>
          <w:sz w:val="24"/>
          <w:szCs w:val="24"/>
          <w:rtl/>
        </w:rPr>
        <w:t>מכל האמור לעיל עולה כי פרקים א'-ג' במסכת פסחים הם יחידה תמאטית (נושאית) תחומה היטב, הן מבחינה תוכנית וה</w:t>
      </w:r>
      <w:r w:rsidR="003721BA">
        <w:rPr>
          <w:rFonts w:hint="cs"/>
          <w:sz w:val="24"/>
          <w:szCs w:val="24"/>
          <w:rtl/>
        </w:rPr>
        <w:t xml:space="preserve">ן מבחינה ספרותית. </w:t>
      </w:r>
      <w:r w:rsidR="004F7C01">
        <w:rPr>
          <w:rFonts w:hint="cs"/>
          <w:sz w:val="24"/>
          <w:szCs w:val="24"/>
          <w:rtl/>
        </w:rPr>
        <w:t>מב</w:t>
      </w:r>
      <w:r w:rsidR="003721BA">
        <w:rPr>
          <w:rFonts w:hint="cs"/>
          <w:sz w:val="24"/>
          <w:szCs w:val="24"/>
          <w:rtl/>
        </w:rPr>
        <w:t>חינה תוכנית-</w:t>
      </w:r>
      <w:r w:rsidRPr="00700A72">
        <w:rPr>
          <w:rFonts w:hint="cs"/>
          <w:sz w:val="24"/>
          <w:szCs w:val="24"/>
          <w:rtl/>
        </w:rPr>
        <w:t xml:space="preserve"> פרקים </w:t>
      </w:r>
      <w:r w:rsidR="00902344">
        <w:rPr>
          <w:rFonts w:hint="cs"/>
          <w:sz w:val="24"/>
          <w:szCs w:val="24"/>
          <w:rtl/>
        </w:rPr>
        <w:t>אלה עוסקים בהגדרת החמץ ובביעורו,</w:t>
      </w:r>
      <w:r w:rsidRPr="00700A72">
        <w:rPr>
          <w:rFonts w:hint="cs"/>
          <w:sz w:val="24"/>
          <w:szCs w:val="24"/>
          <w:rtl/>
        </w:rPr>
        <w:t xml:space="preserve"> </w:t>
      </w:r>
      <w:r w:rsidR="00902344">
        <w:rPr>
          <w:rFonts w:hint="cs"/>
          <w:sz w:val="24"/>
          <w:szCs w:val="24"/>
          <w:rtl/>
        </w:rPr>
        <w:t>ו</w:t>
      </w:r>
      <w:r w:rsidR="003721BA">
        <w:rPr>
          <w:rFonts w:hint="cs"/>
          <w:sz w:val="24"/>
          <w:szCs w:val="24"/>
          <w:rtl/>
        </w:rPr>
        <w:t>מבחינה ספרותית- רבי 'סימן' את גבולותיה של היחיד</w:t>
      </w:r>
      <w:r w:rsidRPr="00700A72">
        <w:rPr>
          <w:rFonts w:hint="cs"/>
          <w:sz w:val="24"/>
          <w:szCs w:val="24"/>
          <w:rtl/>
        </w:rPr>
        <w:t xml:space="preserve"> באמצעות כמה וכמה</w:t>
      </w:r>
      <w:r w:rsidR="003721BA">
        <w:rPr>
          <w:rFonts w:hint="cs"/>
          <w:sz w:val="24"/>
          <w:szCs w:val="24"/>
          <w:rtl/>
        </w:rPr>
        <w:t xml:space="preserve"> הקבלות בין הפרק הראשון </w:t>
      </w:r>
      <w:r w:rsidR="003721BA">
        <w:rPr>
          <w:rFonts w:hint="cs"/>
          <w:sz w:val="24"/>
          <w:szCs w:val="24"/>
          <w:rtl/>
        </w:rPr>
        <w:t>הפותח את היחידה, לפרק השלישי החותם</w:t>
      </w:r>
      <w:r w:rsidRPr="00700A72">
        <w:rPr>
          <w:rFonts w:hint="cs"/>
          <w:sz w:val="24"/>
          <w:szCs w:val="24"/>
          <w:rtl/>
        </w:rPr>
        <w:t>. להלן נבחן מה בחרו עורכי התלמוד הבבלי להציב בשני קצותיה של היחידה הזו.</w:t>
      </w:r>
      <w:r w:rsidRPr="00700A72">
        <w:rPr>
          <w:rFonts w:hint="cs"/>
          <w:sz w:val="24"/>
          <w:szCs w:val="24"/>
          <w:rtl/>
        </w:rPr>
        <w:tab/>
      </w:r>
    </w:p>
    <w:p w:rsidR="00700A72" w:rsidRPr="00902344" w:rsidRDefault="003721BA" w:rsidP="00902344">
      <w:pPr>
        <w:pStyle w:val="3"/>
        <w:spacing w:line="480" w:lineRule="auto"/>
        <w:jc w:val="center"/>
      </w:pPr>
      <w:r>
        <w:rPr>
          <w:rFonts w:hint="cs"/>
          <w:rtl/>
        </w:rPr>
        <w:t xml:space="preserve">אגדת האור- </w:t>
      </w:r>
      <w:r w:rsidR="00700A72" w:rsidRPr="00700A72">
        <w:rPr>
          <w:rFonts w:hint="cs"/>
          <w:rtl/>
        </w:rPr>
        <w:t xml:space="preserve">האגדה </w:t>
      </w:r>
      <w:r>
        <w:rPr>
          <w:rFonts w:hint="cs"/>
          <w:rtl/>
        </w:rPr>
        <w:t>הפותחת</w:t>
      </w:r>
      <w:r w:rsidR="00902344">
        <w:rPr>
          <w:rFonts w:hint="cs"/>
          <w:rtl/>
        </w:rPr>
        <w:t xml:space="preserve"> בבבלי פסחים</w:t>
      </w:r>
      <w:r w:rsidR="00700A72" w:rsidRPr="00700A72">
        <w:rPr>
          <w:rStyle w:val="a7"/>
          <w:rFonts w:eastAsiaTheme="majorEastAsia"/>
          <w:sz w:val="24"/>
          <w:szCs w:val="24"/>
        </w:rPr>
        <w:footnoteReference w:id="17"/>
      </w:r>
    </w:p>
    <w:p w:rsidR="00700A72" w:rsidRPr="00700A72" w:rsidRDefault="00700A72" w:rsidP="00700A72">
      <w:pPr>
        <w:spacing w:line="480" w:lineRule="auto"/>
        <w:rPr>
          <w:color w:val="000000"/>
          <w:sz w:val="24"/>
          <w:szCs w:val="24"/>
          <w:rtl/>
        </w:rPr>
      </w:pPr>
      <w:r w:rsidRPr="00700A72">
        <w:rPr>
          <w:rFonts w:hint="cs"/>
          <w:sz w:val="24"/>
          <w:szCs w:val="24"/>
          <w:rtl/>
        </w:rPr>
        <w:t xml:space="preserve">המשנה הראשונה במסכת פותחת בדין "אור לארבעה עשר בודקין את החמץ לאור הנר". באופן פשוט מדובר כאן בליל ארבעה עשר בניסן, כפי שמוכח ממשנה ג, בהמשך הפרק: </w:t>
      </w:r>
    </w:p>
    <w:p w:rsidR="00700A72" w:rsidRPr="00700A72" w:rsidRDefault="00191BD4" w:rsidP="00CE72E5">
      <w:pPr>
        <w:pStyle w:val="aa"/>
        <w:rPr>
          <w:rtl/>
        </w:rPr>
      </w:pPr>
      <w:r>
        <w:rPr>
          <w:rFonts w:hint="cs"/>
          <w:rtl/>
        </w:rPr>
        <w:t>"</w:t>
      </w:r>
      <w:r w:rsidR="00700A72" w:rsidRPr="00700A72">
        <w:rPr>
          <w:rFonts w:hint="cs"/>
          <w:rtl/>
        </w:rPr>
        <w:t xml:space="preserve">ר' יהודה אומר בודקין אור ארבעה עשר </w:t>
      </w:r>
      <w:r>
        <w:rPr>
          <w:rFonts w:hint="cs"/>
          <w:rtl/>
        </w:rPr>
        <w:t xml:space="preserve">  </w:t>
      </w:r>
      <w:r w:rsidR="00700A72" w:rsidRPr="00700A72">
        <w:rPr>
          <w:rFonts w:hint="cs"/>
          <w:rtl/>
        </w:rPr>
        <w:t>ובארבעה עשר שחרית ובשעת הביעור....</w:t>
      </w:r>
      <w:r>
        <w:rPr>
          <w:rFonts w:hint="cs"/>
          <w:rtl/>
        </w:rPr>
        <w:t>"</w:t>
      </w:r>
    </w:p>
    <w:p w:rsidR="00700A72" w:rsidRPr="00700A72" w:rsidRDefault="00191BD4" w:rsidP="00191BD4">
      <w:pPr>
        <w:adjustRightInd w:val="0"/>
        <w:spacing w:line="480" w:lineRule="auto"/>
        <w:rPr>
          <w:sz w:val="24"/>
          <w:szCs w:val="24"/>
          <w:rtl/>
        </w:rPr>
      </w:pPr>
      <w:r>
        <w:rPr>
          <w:rFonts w:hint="cs"/>
          <w:sz w:val="24"/>
          <w:szCs w:val="24"/>
          <w:rtl/>
        </w:rPr>
        <w:t>על אף</w:t>
      </w:r>
      <w:r w:rsidR="00700A72" w:rsidRPr="00700A72">
        <w:rPr>
          <w:rFonts w:hint="cs"/>
          <w:sz w:val="24"/>
          <w:szCs w:val="24"/>
          <w:rtl/>
        </w:rPr>
        <w:t xml:space="preserve"> זאת</w:t>
      </w:r>
      <w:r>
        <w:rPr>
          <w:rFonts w:hint="cs"/>
          <w:sz w:val="24"/>
          <w:szCs w:val="24"/>
          <w:rtl/>
        </w:rPr>
        <w:t>,</w:t>
      </w:r>
      <w:r w:rsidR="00700A72" w:rsidRPr="00700A72">
        <w:rPr>
          <w:rFonts w:hint="cs"/>
          <w:sz w:val="24"/>
          <w:szCs w:val="24"/>
          <w:rtl/>
        </w:rPr>
        <w:t xml:space="preserve"> הגמרא פותחת בשאלה 'מאי אור?', ומובאות שתי אפשרויות, בשם שני אמוראים: </w:t>
      </w:r>
    </w:p>
    <w:p w:rsidR="00700A72" w:rsidRPr="00700A72" w:rsidRDefault="00191BD4" w:rsidP="00700A72">
      <w:pPr>
        <w:adjustRightInd w:val="0"/>
        <w:spacing w:line="480" w:lineRule="auto"/>
        <w:ind w:firstLine="720"/>
        <w:rPr>
          <w:sz w:val="24"/>
          <w:szCs w:val="24"/>
          <w:rtl/>
        </w:rPr>
      </w:pPr>
      <w:bookmarkStart w:id="0" w:name="_Toc93901267"/>
      <w:r>
        <w:rPr>
          <w:rFonts w:hint="cs"/>
          <w:sz w:val="24"/>
          <w:szCs w:val="24"/>
          <w:rtl/>
        </w:rPr>
        <w:t>"</w:t>
      </w:r>
      <w:r w:rsidR="00700A72" w:rsidRPr="00700A72">
        <w:rPr>
          <w:rFonts w:hint="cs"/>
          <w:sz w:val="24"/>
          <w:szCs w:val="24"/>
          <w:rtl/>
        </w:rPr>
        <w:t>רב הונא אמר: נגהי,</w:t>
      </w:r>
      <w:bookmarkEnd w:id="0"/>
      <w:r w:rsidR="00700A72" w:rsidRPr="00700A72">
        <w:rPr>
          <w:rFonts w:hint="cs"/>
          <w:sz w:val="24"/>
          <w:szCs w:val="24"/>
          <w:rtl/>
        </w:rPr>
        <w:t xml:space="preserve"> </w:t>
      </w:r>
      <w:bookmarkStart w:id="1" w:name="_Toc93901268"/>
      <w:r w:rsidR="00700A72" w:rsidRPr="00700A72">
        <w:rPr>
          <w:rFonts w:hint="cs"/>
          <w:sz w:val="24"/>
          <w:szCs w:val="24"/>
          <w:rtl/>
        </w:rPr>
        <w:t xml:space="preserve"> ורב יהודה אמר: לילי</w:t>
      </w:r>
      <w:r>
        <w:rPr>
          <w:rFonts w:hint="cs"/>
          <w:sz w:val="24"/>
          <w:szCs w:val="24"/>
          <w:rtl/>
        </w:rPr>
        <w:t>"</w:t>
      </w:r>
      <w:r w:rsidR="00700A72" w:rsidRPr="00700A72">
        <w:rPr>
          <w:rFonts w:hint="cs"/>
          <w:sz w:val="24"/>
          <w:szCs w:val="24"/>
          <w:rtl/>
        </w:rPr>
        <w:t>.</w:t>
      </w:r>
      <w:bookmarkEnd w:id="1"/>
    </w:p>
    <w:p w:rsidR="00700A72" w:rsidRPr="00700A72" w:rsidRDefault="00700A72" w:rsidP="00700A72">
      <w:pPr>
        <w:adjustRightInd w:val="0"/>
        <w:spacing w:line="480" w:lineRule="auto"/>
        <w:rPr>
          <w:sz w:val="24"/>
          <w:szCs w:val="24"/>
          <w:rtl/>
        </w:rPr>
      </w:pPr>
      <w:r w:rsidRPr="00700A72">
        <w:rPr>
          <w:rFonts w:hint="cs"/>
          <w:sz w:val="24"/>
          <w:szCs w:val="24"/>
          <w:rtl/>
        </w:rPr>
        <w:t xml:space="preserve">הסוגיא בוחנת תחילה את האפשרות שמדובר בשתי דעות קוטביות, שאחת מתייחסת ללילה ואחת ליום. בשלב זה מביאה הסוגיא שורה של פסוקים, ולאחריה שורה של מקורות תנאיים. לבסוף, דוחה הגמרא את ה'הוא אמינא' שקיימת מחלוקת קוטבית בין האמוראים: </w:t>
      </w:r>
    </w:p>
    <w:p w:rsidR="00700A72" w:rsidRPr="00700A72" w:rsidRDefault="00191BD4" w:rsidP="00CE72E5">
      <w:pPr>
        <w:pStyle w:val="aa"/>
        <w:rPr>
          <w:rtl/>
        </w:rPr>
      </w:pPr>
      <w:r>
        <w:rPr>
          <w:rFonts w:hint="cs"/>
          <w:rtl/>
        </w:rPr>
        <w:t>"</w:t>
      </w:r>
      <w:r w:rsidR="00700A72" w:rsidRPr="00700A72">
        <w:rPr>
          <w:rFonts w:hint="cs"/>
          <w:rtl/>
        </w:rPr>
        <w:t>אלא: בין רב הונא ובין רב יהודה, דכולי עלמא: אור אורתא הוא...</w:t>
      </w:r>
      <w:r>
        <w:rPr>
          <w:rFonts w:hint="cs"/>
          <w:rtl/>
        </w:rPr>
        <w:t>"</w:t>
      </w:r>
    </w:p>
    <w:p w:rsidR="00700A72" w:rsidRPr="00700A72" w:rsidRDefault="003721BA" w:rsidP="00ED0448">
      <w:pPr>
        <w:adjustRightInd w:val="0"/>
        <w:spacing w:line="480" w:lineRule="auto"/>
        <w:rPr>
          <w:sz w:val="24"/>
          <w:szCs w:val="24"/>
          <w:rtl/>
        </w:rPr>
      </w:pPr>
      <w:r>
        <w:rPr>
          <w:rFonts w:hint="cs"/>
          <w:sz w:val="24"/>
          <w:szCs w:val="24"/>
          <w:rtl/>
        </w:rPr>
        <w:t>ו</w:t>
      </w:r>
      <w:r w:rsidR="00700A72" w:rsidRPr="00700A72">
        <w:rPr>
          <w:rFonts w:hint="cs"/>
          <w:sz w:val="24"/>
          <w:szCs w:val="24"/>
          <w:rtl/>
        </w:rPr>
        <w:t>כבר עמ</w:t>
      </w:r>
      <w:r>
        <w:rPr>
          <w:rFonts w:hint="cs"/>
          <w:sz w:val="24"/>
          <w:szCs w:val="24"/>
          <w:rtl/>
        </w:rPr>
        <w:t xml:space="preserve">דו על כך שהסקת מסקנה </w:t>
      </w:r>
      <w:r w:rsidR="00CF2090">
        <w:rPr>
          <w:rFonts w:hint="cs"/>
          <w:sz w:val="24"/>
          <w:szCs w:val="24"/>
          <w:rtl/>
        </w:rPr>
        <w:t xml:space="preserve">זו בגמרא </w:t>
      </w:r>
      <w:r>
        <w:rPr>
          <w:rFonts w:hint="cs"/>
          <w:sz w:val="24"/>
          <w:szCs w:val="24"/>
          <w:rtl/>
        </w:rPr>
        <w:t xml:space="preserve">לא הצריכה את </w:t>
      </w:r>
      <w:r w:rsidR="00700A72" w:rsidRPr="00700A72">
        <w:rPr>
          <w:rFonts w:hint="cs"/>
          <w:sz w:val="24"/>
          <w:szCs w:val="24"/>
          <w:rtl/>
        </w:rPr>
        <w:t xml:space="preserve">הבאת סדרת </w:t>
      </w:r>
      <w:r>
        <w:rPr>
          <w:rFonts w:hint="cs"/>
          <w:sz w:val="24"/>
          <w:szCs w:val="24"/>
          <w:rtl/>
        </w:rPr>
        <w:t>הראיות הענפה ה</w:t>
      </w:r>
      <w:r w:rsidR="00CF2090">
        <w:rPr>
          <w:rFonts w:hint="cs"/>
          <w:sz w:val="24"/>
          <w:szCs w:val="24"/>
          <w:rtl/>
        </w:rPr>
        <w:t xml:space="preserve">מובאת בסוגיא. </w:t>
      </w:r>
      <w:r w:rsidR="00700A72" w:rsidRPr="00700A72">
        <w:rPr>
          <w:rFonts w:hint="cs"/>
          <w:sz w:val="24"/>
          <w:szCs w:val="24"/>
          <w:rtl/>
        </w:rPr>
        <w:t xml:space="preserve">רבנו </w:t>
      </w:r>
      <w:r w:rsidR="00700A72" w:rsidRPr="00700A72">
        <w:rPr>
          <w:sz w:val="24"/>
          <w:szCs w:val="24"/>
          <w:rtl/>
        </w:rPr>
        <w:t>חננאל</w:t>
      </w:r>
      <w:r w:rsidR="00CF2090">
        <w:rPr>
          <w:rStyle w:val="a7"/>
          <w:rtl/>
        </w:rPr>
        <w:footnoteReference w:id="18"/>
      </w:r>
      <w:r w:rsidR="00CF2090">
        <w:rPr>
          <w:sz w:val="24"/>
          <w:szCs w:val="24"/>
          <w:rtl/>
        </w:rPr>
        <w:t xml:space="preserve"> </w:t>
      </w:r>
      <w:r w:rsidR="00700A72" w:rsidRPr="00700A72">
        <w:rPr>
          <w:sz w:val="24"/>
          <w:szCs w:val="24"/>
          <w:rtl/>
        </w:rPr>
        <w:t>וראשונים אחרים</w:t>
      </w:r>
      <w:r w:rsidR="000E0849">
        <w:rPr>
          <w:rStyle w:val="a7"/>
          <w:rtl/>
        </w:rPr>
        <w:footnoteReference w:id="19"/>
      </w:r>
      <w:r w:rsidR="00CF2090" w:rsidRPr="00CF2090">
        <w:rPr>
          <w:sz w:val="18"/>
          <w:szCs w:val="18"/>
          <w:rtl/>
        </w:rPr>
        <w:t xml:space="preserve"> </w:t>
      </w:r>
      <w:r w:rsidR="00700A72" w:rsidRPr="00700A72">
        <w:rPr>
          <w:sz w:val="24"/>
          <w:szCs w:val="24"/>
          <w:rtl/>
        </w:rPr>
        <w:t xml:space="preserve">העירו על כך שלצורך הכרעת הספק </w:t>
      </w:r>
      <w:r w:rsidR="00700A72" w:rsidRPr="00700A72">
        <w:rPr>
          <w:rFonts w:hint="cs"/>
          <w:sz w:val="24"/>
          <w:szCs w:val="24"/>
          <w:rtl/>
        </w:rPr>
        <w:t xml:space="preserve">היה </w:t>
      </w:r>
      <w:r w:rsidR="00CF2090">
        <w:rPr>
          <w:sz w:val="24"/>
          <w:szCs w:val="24"/>
          <w:rtl/>
        </w:rPr>
        <w:t xml:space="preserve">די בראיה תנאית אחת </w:t>
      </w:r>
      <w:r w:rsidR="00CF2090">
        <w:rPr>
          <w:rFonts w:hint="cs"/>
          <w:sz w:val="24"/>
          <w:szCs w:val="24"/>
          <w:rtl/>
        </w:rPr>
        <w:lastRenderedPageBreak/>
        <w:t>המכריעה לדעה הסוברת שמשמעות 'אור' במשנה</w:t>
      </w:r>
      <w:r w:rsidR="00ED0448">
        <w:rPr>
          <w:rFonts w:hint="cs"/>
          <w:sz w:val="24"/>
          <w:szCs w:val="24"/>
          <w:rtl/>
        </w:rPr>
        <w:t xml:space="preserve"> הינה</w:t>
      </w:r>
      <w:r w:rsidR="00CF2090">
        <w:rPr>
          <w:rFonts w:hint="cs"/>
          <w:sz w:val="24"/>
          <w:szCs w:val="24"/>
          <w:rtl/>
        </w:rPr>
        <w:t xml:space="preserve"> לילה, </w:t>
      </w:r>
      <w:r w:rsidR="00700A72" w:rsidRPr="00700A72">
        <w:rPr>
          <w:sz w:val="24"/>
          <w:szCs w:val="24"/>
          <w:rtl/>
        </w:rPr>
        <w:t xml:space="preserve">וחותמת </w:t>
      </w:r>
      <w:r w:rsidR="00CF2090">
        <w:rPr>
          <w:rFonts w:hint="cs"/>
          <w:sz w:val="24"/>
          <w:szCs w:val="24"/>
          <w:rtl/>
        </w:rPr>
        <w:t xml:space="preserve">באופן </w:t>
      </w:r>
      <w:r w:rsidR="00CF2090">
        <w:rPr>
          <w:sz w:val="24"/>
          <w:szCs w:val="24"/>
          <w:rtl/>
        </w:rPr>
        <w:t>חד-משמעי</w:t>
      </w:r>
      <w:r w:rsidR="00CF2090">
        <w:rPr>
          <w:rFonts w:hint="cs"/>
          <w:sz w:val="24"/>
          <w:szCs w:val="24"/>
          <w:rtl/>
        </w:rPr>
        <w:t xml:space="preserve"> -</w:t>
      </w:r>
      <w:r w:rsidR="00700A72" w:rsidRPr="00700A72">
        <w:rPr>
          <w:sz w:val="24"/>
          <w:szCs w:val="24"/>
          <w:rtl/>
        </w:rPr>
        <w:t xml:space="preserve"> 'שמע מינה'.</w:t>
      </w:r>
      <w:r w:rsidR="00CF2090">
        <w:rPr>
          <w:rStyle w:val="a7"/>
          <w:rtl/>
        </w:rPr>
        <w:footnoteReference w:id="20"/>
      </w:r>
      <w:r w:rsidR="00700A72" w:rsidRPr="00700A72">
        <w:rPr>
          <w:sz w:val="24"/>
          <w:szCs w:val="24"/>
          <w:rtl/>
        </w:rPr>
        <w:t xml:space="preserve"> ואמנם, על פי משמעות המילה הארמית 'נגהי' נראה בפשטות שמדובר בשני תיאורים שונים לאותו זמן, ליל ארבעה עשר, או לכל </w:t>
      </w:r>
      <w:r w:rsidR="00ED0448">
        <w:rPr>
          <w:sz w:val="24"/>
          <w:szCs w:val="24"/>
          <w:rtl/>
        </w:rPr>
        <w:t>היותר בשני חלקים שונים של הלילה</w:t>
      </w:r>
      <w:r w:rsidR="00ED0448">
        <w:rPr>
          <w:rFonts w:hint="cs"/>
          <w:sz w:val="24"/>
          <w:szCs w:val="24"/>
          <w:rtl/>
        </w:rPr>
        <w:t>,</w:t>
      </w:r>
      <w:r w:rsidR="00700A72" w:rsidRPr="00700A72">
        <w:rPr>
          <w:sz w:val="24"/>
          <w:szCs w:val="24"/>
          <w:rtl/>
        </w:rPr>
        <w:t xml:space="preserve"> שכן, המילה 'נגהי' בארמית מובנה לילה.</w:t>
      </w:r>
      <w:r w:rsidR="00ED0448">
        <w:rPr>
          <w:rStyle w:val="a7"/>
          <w:rtl/>
        </w:rPr>
        <w:footnoteReference w:id="21"/>
      </w:r>
    </w:p>
    <w:p w:rsidR="00700A72" w:rsidRPr="00700A72" w:rsidRDefault="00700A72" w:rsidP="00AC7435">
      <w:pPr>
        <w:spacing w:line="480" w:lineRule="auto"/>
        <w:rPr>
          <w:sz w:val="24"/>
          <w:szCs w:val="24"/>
          <w:rtl/>
        </w:rPr>
      </w:pPr>
      <w:r w:rsidRPr="00700A72">
        <w:rPr>
          <w:rFonts w:hint="cs"/>
          <w:sz w:val="24"/>
          <w:szCs w:val="24"/>
          <w:rtl/>
        </w:rPr>
        <w:t>ממילא, סדרת הראיות מהווה למעשה קטע אגדי</w:t>
      </w:r>
      <w:r w:rsidR="000E0849">
        <w:rPr>
          <w:rFonts w:hint="cs"/>
          <w:sz w:val="24"/>
          <w:szCs w:val="24"/>
          <w:rtl/>
        </w:rPr>
        <w:t xml:space="preserve"> ארוך, ש'אינו אלא עיבוד ספרותי'</w:t>
      </w:r>
      <w:r w:rsidRPr="00700A72">
        <w:rPr>
          <w:rFonts w:hint="cs"/>
          <w:sz w:val="24"/>
          <w:szCs w:val="24"/>
          <w:rtl/>
        </w:rPr>
        <w:t xml:space="preserve"> כלשונו של א"ש רוזנטל,</w:t>
      </w:r>
      <w:r w:rsidRPr="000E0849">
        <w:rPr>
          <w:rStyle w:val="a7"/>
          <w:rFonts w:eastAsiaTheme="majorEastAsia"/>
          <w:sz w:val="18"/>
          <w:szCs w:val="18"/>
          <w:rtl/>
        </w:rPr>
        <w:footnoteReference w:id="22"/>
      </w:r>
      <w:r w:rsidRPr="000E0849">
        <w:rPr>
          <w:rFonts w:hint="cs"/>
          <w:sz w:val="18"/>
          <w:szCs w:val="18"/>
          <w:rtl/>
        </w:rPr>
        <w:t xml:space="preserve"> </w:t>
      </w:r>
      <w:r w:rsidR="000E0849">
        <w:rPr>
          <w:rFonts w:hint="cs"/>
          <w:sz w:val="24"/>
          <w:szCs w:val="24"/>
          <w:rtl/>
        </w:rPr>
        <w:t>דהיינו</w:t>
      </w:r>
      <w:r w:rsidR="00ED0448">
        <w:rPr>
          <w:rFonts w:hint="cs"/>
          <w:sz w:val="24"/>
          <w:szCs w:val="24"/>
          <w:rtl/>
        </w:rPr>
        <w:t xml:space="preserve"> סוגיא שנוצרה מסיבות ספרותיות</w:t>
      </w:r>
      <w:r w:rsidRPr="00700A72">
        <w:rPr>
          <w:rFonts w:hint="cs"/>
          <w:sz w:val="24"/>
          <w:szCs w:val="24"/>
          <w:rtl/>
        </w:rPr>
        <w:t xml:space="preserve"> </w:t>
      </w:r>
      <w:r w:rsidR="00ED0448">
        <w:rPr>
          <w:rFonts w:hint="cs"/>
          <w:sz w:val="24"/>
          <w:szCs w:val="24"/>
          <w:rtl/>
        </w:rPr>
        <w:t>א</w:t>
      </w:r>
      <w:r w:rsidRPr="00700A72">
        <w:rPr>
          <w:rFonts w:hint="cs"/>
          <w:sz w:val="24"/>
          <w:szCs w:val="24"/>
          <w:rtl/>
        </w:rPr>
        <w:t>ש</w:t>
      </w:r>
      <w:r w:rsidR="00ED0448">
        <w:rPr>
          <w:rFonts w:hint="cs"/>
          <w:sz w:val="24"/>
          <w:szCs w:val="24"/>
          <w:rtl/>
        </w:rPr>
        <w:t xml:space="preserve">ר </w:t>
      </w:r>
      <w:r w:rsidR="000E0849">
        <w:rPr>
          <w:rFonts w:hint="cs"/>
          <w:sz w:val="24"/>
          <w:szCs w:val="24"/>
          <w:rtl/>
        </w:rPr>
        <w:t>איננה חלק הכרחי מהבירור ההלכתי ה</w:t>
      </w:r>
      <w:r w:rsidRPr="00700A72">
        <w:rPr>
          <w:rFonts w:hint="cs"/>
          <w:sz w:val="24"/>
          <w:szCs w:val="24"/>
          <w:rtl/>
        </w:rPr>
        <w:t>עומד בבסיס הסוגיא. הדברים מסתברים מהאופן הנחרץ שבה ה</w:t>
      </w:r>
      <w:r w:rsidR="00ED0448">
        <w:rPr>
          <w:rFonts w:hint="cs"/>
          <w:sz w:val="24"/>
          <w:szCs w:val="24"/>
          <w:rtl/>
        </w:rPr>
        <w:t>גמרא קיבלה את ההוכחות ש'אור' הינו</w:t>
      </w:r>
      <w:r w:rsidRPr="00700A72">
        <w:rPr>
          <w:rFonts w:hint="cs"/>
          <w:sz w:val="24"/>
          <w:szCs w:val="24"/>
          <w:rtl/>
        </w:rPr>
        <w:t xml:space="preserve"> לילה ודחתה את רוב האחרות. </w:t>
      </w:r>
    </w:p>
    <w:p w:rsidR="00700A72" w:rsidRPr="00700A72" w:rsidRDefault="00700A72" w:rsidP="003C70E8">
      <w:pPr>
        <w:spacing w:line="480" w:lineRule="auto"/>
        <w:rPr>
          <w:sz w:val="24"/>
          <w:szCs w:val="24"/>
          <w:rtl/>
        </w:rPr>
      </w:pPr>
      <w:r w:rsidRPr="00700A72">
        <w:rPr>
          <w:rFonts w:hint="cs"/>
          <w:sz w:val="24"/>
          <w:szCs w:val="24"/>
          <w:rtl/>
        </w:rPr>
        <w:t>יתר על כן, עמידתו העצמאית של קטע אגדי זה מתחזקת במיוחד</w:t>
      </w:r>
      <w:r w:rsidR="003C70E8">
        <w:rPr>
          <w:rFonts w:hint="cs"/>
          <w:sz w:val="24"/>
          <w:szCs w:val="24"/>
          <w:rtl/>
        </w:rPr>
        <w:t xml:space="preserve"> לאור </w:t>
      </w:r>
      <w:r w:rsidRPr="00700A72">
        <w:rPr>
          <w:rFonts w:hint="cs"/>
          <w:sz w:val="24"/>
          <w:szCs w:val="24"/>
          <w:rtl/>
        </w:rPr>
        <w:t>ע</w:t>
      </w:r>
      <w:r w:rsidR="003C70E8">
        <w:rPr>
          <w:rFonts w:hint="cs"/>
          <w:sz w:val="24"/>
          <w:szCs w:val="24"/>
          <w:rtl/>
        </w:rPr>
        <w:t>יצובו הספרותי, הבנוי במבנה כפול</w:t>
      </w:r>
      <w:r w:rsidRPr="00700A72">
        <w:rPr>
          <w:rFonts w:hint="cs"/>
          <w:sz w:val="24"/>
          <w:szCs w:val="24"/>
          <w:rtl/>
        </w:rPr>
        <w:t xml:space="preserve"> בעל סימטריה הפוכה:</w:t>
      </w:r>
      <w:bookmarkStart w:id="2" w:name="_Ref447110610"/>
      <w:r w:rsidRPr="003C70E8">
        <w:rPr>
          <w:rStyle w:val="a7"/>
          <w:rFonts w:eastAsiaTheme="majorEastAsia"/>
          <w:sz w:val="18"/>
          <w:szCs w:val="18"/>
        </w:rPr>
        <w:footnoteReference w:id="23"/>
      </w:r>
      <w:bookmarkEnd w:id="2"/>
      <w:r w:rsidRPr="003C70E8">
        <w:rPr>
          <w:rFonts w:hint="cs"/>
          <w:sz w:val="18"/>
          <w:szCs w:val="18"/>
          <w:rtl/>
        </w:rPr>
        <w:t xml:space="preserve"> </w:t>
      </w:r>
      <w:r w:rsidRPr="00700A72">
        <w:rPr>
          <w:rFonts w:hint="cs"/>
          <w:sz w:val="24"/>
          <w:szCs w:val="24"/>
          <w:rtl/>
        </w:rPr>
        <w:t xml:space="preserve">בכל אחד מחלקיו, </w:t>
      </w:r>
      <w:r w:rsidRPr="00700A72">
        <w:rPr>
          <w:rFonts w:hint="cs"/>
          <w:sz w:val="24"/>
          <w:szCs w:val="24"/>
          <w:rtl/>
        </w:rPr>
        <w:t>המקראי והתנאי, ישנן שבע</w:t>
      </w:r>
      <w:bookmarkStart w:id="3" w:name="_Ref121573070"/>
      <w:r w:rsidRPr="003C70E8">
        <w:rPr>
          <w:rStyle w:val="a7"/>
          <w:rFonts w:eastAsiaTheme="majorEastAsia"/>
          <w:sz w:val="18"/>
          <w:szCs w:val="18"/>
        </w:rPr>
        <w:footnoteReference w:id="24"/>
      </w:r>
      <w:bookmarkEnd w:id="3"/>
      <w:r w:rsidRPr="003C70E8">
        <w:rPr>
          <w:rFonts w:hint="cs"/>
          <w:sz w:val="18"/>
          <w:szCs w:val="18"/>
          <w:rtl/>
        </w:rPr>
        <w:t xml:space="preserve"> </w:t>
      </w:r>
      <w:r w:rsidRPr="00700A72">
        <w:rPr>
          <w:rFonts w:hint="cs"/>
          <w:sz w:val="24"/>
          <w:szCs w:val="24"/>
          <w:rtl/>
        </w:rPr>
        <w:t>ראיות; בחל</w:t>
      </w:r>
      <w:r w:rsidR="003C70E8">
        <w:rPr>
          <w:rFonts w:hint="cs"/>
          <w:sz w:val="24"/>
          <w:szCs w:val="24"/>
          <w:rtl/>
        </w:rPr>
        <w:t>ק המקראי שלוש הראיות הראשונות ו</w:t>
      </w:r>
      <w:r w:rsidRPr="00700A72">
        <w:rPr>
          <w:rFonts w:hint="cs"/>
          <w:sz w:val="24"/>
          <w:szCs w:val="24"/>
          <w:rtl/>
        </w:rPr>
        <w:t>שלוש האחרונות מראות ש'אור' הוא יום, ואילו האמצעית מראה ש'אור' הוא לילה; אותו המבנה מ</w:t>
      </w:r>
      <w:r w:rsidR="00ED0448">
        <w:rPr>
          <w:rFonts w:hint="cs"/>
          <w:sz w:val="24"/>
          <w:szCs w:val="24"/>
          <w:rtl/>
        </w:rPr>
        <w:t>ופיע באופן מהופך בראיות התנאיות-</w:t>
      </w:r>
      <w:r w:rsidR="003C70E8">
        <w:rPr>
          <w:rFonts w:hint="cs"/>
          <w:sz w:val="24"/>
          <w:szCs w:val="24"/>
          <w:rtl/>
        </w:rPr>
        <w:t xml:space="preserve"> שלוש הראיות התנאיות הראשונות ו</w:t>
      </w:r>
      <w:r w:rsidRPr="00700A72">
        <w:rPr>
          <w:rFonts w:hint="cs"/>
          <w:sz w:val="24"/>
          <w:szCs w:val="24"/>
          <w:rtl/>
        </w:rPr>
        <w:t>שלוש האחרונות מראות כי 'אור' הוא לילה, ואילו</w:t>
      </w:r>
      <w:r w:rsidR="003C70E8">
        <w:rPr>
          <w:rFonts w:hint="cs"/>
          <w:sz w:val="24"/>
          <w:szCs w:val="24"/>
          <w:rtl/>
        </w:rPr>
        <w:t xml:space="preserve"> הראיה האמצעית מראה כי 'אור' משמעו</w:t>
      </w:r>
      <w:r w:rsidRPr="00700A72">
        <w:rPr>
          <w:rFonts w:hint="cs"/>
          <w:sz w:val="24"/>
          <w:szCs w:val="24"/>
          <w:rtl/>
        </w:rPr>
        <w:t xml:space="preserve"> בוקר. על דרך הדרוש ניתן להוסיף כי המבנה הנ"ל יוצר מעין שתי צורות של 'מנורה', שזהו מבנה מעניין</w:t>
      </w:r>
      <w:r w:rsidR="00ED0448">
        <w:rPr>
          <w:rFonts w:hint="cs"/>
          <w:sz w:val="24"/>
          <w:szCs w:val="24"/>
          <w:rtl/>
        </w:rPr>
        <w:t xml:space="preserve"> לסוגיא ה</w:t>
      </w:r>
      <w:r w:rsidRPr="00700A72">
        <w:rPr>
          <w:rFonts w:hint="cs"/>
          <w:sz w:val="24"/>
          <w:szCs w:val="24"/>
          <w:rtl/>
        </w:rPr>
        <w:t xml:space="preserve">עוסקת באור. נראה שעורכי המסכת בחרו לפתוח את היחידה שעוסקת בביעור חמץ באגדה, שמציעה בפני הלומד עיסוק רעיוני בענייני אור וחושך, יום ולילה. </w:t>
      </w:r>
    </w:p>
    <w:p w:rsidR="00CE72E5" w:rsidRDefault="00700A72" w:rsidP="005C71DB">
      <w:pPr>
        <w:spacing w:line="480" w:lineRule="auto"/>
        <w:rPr>
          <w:sz w:val="24"/>
          <w:szCs w:val="24"/>
          <w:rtl/>
        </w:rPr>
      </w:pPr>
      <w:r w:rsidRPr="00700A72">
        <w:rPr>
          <w:rFonts w:hint="cs"/>
          <w:sz w:val="24"/>
          <w:szCs w:val="24"/>
          <w:rtl/>
        </w:rPr>
        <w:t>הבחירה לפתוח את מסכת פסחים בכלל, ואת נושא החמץ בפרט, בקטע אגדי העוסק בנושא האור והחושך, טעונה הסבר אודות טיב הקשר בין מוטיב האור והחושך לבין חג הפסח. עיון בסיפור המקראי של יציאת מצרים ובפרשנותם האגדית של חז"ל, מעיד על מרכזיותו של מוטיב האור והחושך בסיפור זה. מוטיב זה בולט כמובן במכת החושך, אך נוכח למעשה בכל שלוש</w:t>
      </w:r>
      <w:r w:rsidR="005C71DB">
        <w:rPr>
          <w:rFonts w:hint="cs"/>
          <w:sz w:val="24"/>
          <w:szCs w:val="24"/>
          <w:rtl/>
        </w:rPr>
        <w:t>ת המכות האחרונות.</w:t>
      </w:r>
      <w:r w:rsidRPr="00700A72">
        <w:rPr>
          <w:rFonts w:hint="cs"/>
          <w:sz w:val="24"/>
          <w:szCs w:val="24"/>
          <w:rtl/>
        </w:rPr>
        <w:t xml:space="preserve"> תהליך 'החשכתה' של מצרים מתחיל במכת הארבה</w:t>
      </w:r>
      <w:r w:rsidR="005C71DB">
        <w:rPr>
          <w:rFonts w:hint="cs"/>
          <w:sz w:val="24"/>
          <w:szCs w:val="24"/>
          <w:rtl/>
        </w:rPr>
        <w:t>:</w:t>
      </w:r>
      <w:r w:rsidR="00CE72E5">
        <w:rPr>
          <w:rFonts w:hint="cs"/>
          <w:sz w:val="24"/>
          <w:szCs w:val="24"/>
          <w:rtl/>
        </w:rPr>
        <w:t xml:space="preserve"> </w:t>
      </w:r>
    </w:p>
    <w:p w:rsidR="005C71DB" w:rsidRDefault="00684C5B" w:rsidP="00CE72E5">
      <w:pPr>
        <w:pStyle w:val="aa"/>
        <w:rPr>
          <w:rtl/>
        </w:rPr>
      </w:pPr>
      <w:r>
        <w:rPr>
          <w:rFonts w:hint="cs"/>
          <w:rtl/>
        </w:rPr>
        <w:t>"</w:t>
      </w:r>
      <w:r w:rsidR="00CE72E5" w:rsidRPr="00CE72E5">
        <w:rPr>
          <w:rtl/>
        </w:rPr>
        <w:t>וַיְכַס אֶת עֵין כָּל הָאָרֶץ וַתֶּחְשַׁךְ הָאָרֶץ</w:t>
      </w:r>
      <w:r>
        <w:rPr>
          <w:rFonts w:hint="cs"/>
          <w:rtl/>
        </w:rPr>
        <w:t>".</w:t>
      </w:r>
      <w:r w:rsidR="00CE72E5" w:rsidRPr="00CE72E5">
        <w:rPr>
          <w:rtl/>
        </w:rPr>
        <w:t xml:space="preserve"> </w:t>
      </w:r>
      <w:r w:rsidR="00700A72" w:rsidRPr="00700A72">
        <w:rPr>
          <w:rFonts w:hint="cs"/>
          <w:rtl/>
        </w:rPr>
        <w:t xml:space="preserve"> </w:t>
      </w:r>
    </w:p>
    <w:p w:rsidR="005C71DB" w:rsidRPr="00684C5B" w:rsidRDefault="00CE72E5" w:rsidP="00684C5B">
      <w:pPr>
        <w:pStyle w:val="aa"/>
        <w:jc w:val="right"/>
        <w:rPr>
          <w:sz w:val="22"/>
          <w:szCs w:val="22"/>
          <w:rtl/>
        </w:rPr>
      </w:pPr>
      <w:r w:rsidRPr="00684C5B">
        <w:rPr>
          <w:rFonts w:hint="cs"/>
          <w:sz w:val="22"/>
          <w:szCs w:val="22"/>
          <w:rtl/>
        </w:rPr>
        <w:t xml:space="preserve"> </w:t>
      </w:r>
      <w:r w:rsidR="00634DC1" w:rsidRPr="00684C5B">
        <w:rPr>
          <w:rFonts w:hint="cs"/>
          <w:sz w:val="22"/>
          <w:szCs w:val="22"/>
          <w:rtl/>
        </w:rPr>
        <w:t>(שמות י</w:t>
      </w:r>
      <w:r w:rsidR="005C71DB" w:rsidRPr="00684C5B">
        <w:rPr>
          <w:rFonts w:hint="cs"/>
          <w:sz w:val="22"/>
          <w:szCs w:val="22"/>
          <w:rtl/>
        </w:rPr>
        <w:t>, טו)</w:t>
      </w:r>
    </w:p>
    <w:p w:rsidR="00700A72" w:rsidRPr="00700A72" w:rsidRDefault="00700A72" w:rsidP="00DF399B">
      <w:pPr>
        <w:spacing w:line="480" w:lineRule="auto"/>
        <w:rPr>
          <w:sz w:val="24"/>
          <w:szCs w:val="24"/>
          <w:rtl/>
        </w:rPr>
      </w:pPr>
      <w:r w:rsidRPr="00700A72">
        <w:rPr>
          <w:rFonts w:hint="cs"/>
          <w:sz w:val="24"/>
          <w:szCs w:val="24"/>
          <w:rtl/>
        </w:rPr>
        <w:t>מכאן ש</w:t>
      </w:r>
      <w:r w:rsidR="005C71DB">
        <w:rPr>
          <w:rFonts w:hint="cs"/>
          <w:sz w:val="24"/>
          <w:szCs w:val="24"/>
          <w:rtl/>
        </w:rPr>
        <w:t xml:space="preserve">עם ההתקרבות ליציאת מצרים, ניתן בבירור לראות </w:t>
      </w:r>
      <w:r w:rsidRPr="00700A72">
        <w:rPr>
          <w:rFonts w:hint="cs"/>
          <w:sz w:val="24"/>
          <w:szCs w:val="24"/>
          <w:rtl/>
        </w:rPr>
        <w:t>במכות האחרונות</w:t>
      </w:r>
      <w:r w:rsidR="005C71DB">
        <w:rPr>
          <w:rFonts w:hint="cs"/>
          <w:sz w:val="24"/>
          <w:szCs w:val="24"/>
          <w:rtl/>
        </w:rPr>
        <w:t xml:space="preserve"> מגמה של מוטיב החושך </w:t>
      </w:r>
      <w:r w:rsidR="005C71DB">
        <w:rPr>
          <w:rFonts w:hint="cs"/>
          <w:sz w:val="24"/>
          <w:szCs w:val="24"/>
          <w:rtl/>
        </w:rPr>
        <w:lastRenderedPageBreak/>
        <w:t>היורד על המצרים.</w:t>
      </w:r>
      <w:r w:rsidRPr="00700A72">
        <w:rPr>
          <w:rFonts w:hint="cs"/>
          <w:sz w:val="24"/>
          <w:szCs w:val="24"/>
          <w:rtl/>
        </w:rPr>
        <w:t xml:space="preserve"> אף המכ</w:t>
      </w:r>
      <w:r w:rsidR="00DF399B">
        <w:rPr>
          <w:rFonts w:hint="cs"/>
          <w:sz w:val="24"/>
          <w:szCs w:val="24"/>
          <w:rtl/>
        </w:rPr>
        <w:t>ה האחרונה, מכת בכורות, קשורה למגמה זו</w:t>
      </w:r>
      <w:r w:rsidRPr="00700A72">
        <w:rPr>
          <w:rFonts w:hint="cs"/>
          <w:sz w:val="24"/>
          <w:szCs w:val="24"/>
          <w:rtl/>
        </w:rPr>
        <w:t>, שכן</w:t>
      </w:r>
      <w:r w:rsidR="00DF399B">
        <w:rPr>
          <w:rFonts w:hint="cs"/>
          <w:sz w:val="24"/>
          <w:szCs w:val="24"/>
          <w:rtl/>
        </w:rPr>
        <w:t xml:space="preserve"> היא מתבצעת בחצות הלילה, וממילא ניתן לומר</w:t>
      </w:r>
      <w:r w:rsidRPr="00700A72">
        <w:rPr>
          <w:rFonts w:hint="cs"/>
          <w:sz w:val="24"/>
          <w:szCs w:val="24"/>
          <w:rtl/>
        </w:rPr>
        <w:t xml:space="preserve"> באופן</w:t>
      </w:r>
      <w:r w:rsidR="00DF399B">
        <w:rPr>
          <w:rFonts w:hint="cs"/>
          <w:sz w:val="24"/>
          <w:szCs w:val="24"/>
          <w:rtl/>
        </w:rPr>
        <w:t xml:space="preserve"> מטפורי</w:t>
      </w:r>
      <w:r w:rsidRPr="00700A72">
        <w:rPr>
          <w:rFonts w:hint="cs"/>
          <w:sz w:val="24"/>
          <w:szCs w:val="24"/>
          <w:rtl/>
        </w:rPr>
        <w:t xml:space="preserve"> שהקב"ה 'מאיר' את אותו לילה באור הגאולה. ואמנם</w:t>
      </w:r>
      <w:r w:rsidR="00DF399B">
        <w:rPr>
          <w:rFonts w:hint="cs"/>
          <w:sz w:val="24"/>
          <w:szCs w:val="24"/>
          <w:rtl/>
        </w:rPr>
        <w:t>,</w:t>
      </w:r>
      <w:r w:rsidRPr="00700A72">
        <w:rPr>
          <w:rFonts w:hint="cs"/>
          <w:sz w:val="24"/>
          <w:szCs w:val="24"/>
          <w:rtl/>
        </w:rPr>
        <w:t xml:space="preserve"> מצינו לגבי מכת בכורות את השימוש במטפורת האור והחושך במדרש, בפסיקתא דרב כהנא</w:t>
      </w:r>
      <w:r w:rsidR="00DF399B">
        <w:rPr>
          <w:rFonts w:hint="cs"/>
          <w:sz w:val="24"/>
          <w:szCs w:val="24"/>
          <w:rtl/>
        </w:rPr>
        <w:t>:</w:t>
      </w:r>
      <w:r w:rsidRPr="00700A72">
        <w:rPr>
          <w:rFonts w:hint="cs"/>
          <w:sz w:val="24"/>
          <w:szCs w:val="24"/>
          <w:rtl/>
        </w:rPr>
        <w:t xml:space="preserve"> </w:t>
      </w:r>
    </w:p>
    <w:p w:rsidR="00700A72" w:rsidRDefault="00DF399B" w:rsidP="00DF399B">
      <w:pPr>
        <w:spacing w:line="480" w:lineRule="auto"/>
        <w:ind w:left="720"/>
        <w:rPr>
          <w:sz w:val="24"/>
          <w:szCs w:val="24"/>
          <w:rtl/>
        </w:rPr>
      </w:pPr>
      <w:r>
        <w:rPr>
          <w:rFonts w:hint="cs"/>
          <w:sz w:val="24"/>
          <w:szCs w:val="24"/>
          <w:rtl/>
        </w:rPr>
        <w:t>"</w:t>
      </w:r>
      <w:r w:rsidR="00700A72" w:rsidRPr="00700A72">
        <w:rPr>
          <w:rFonts w:hint="cs"/>
          <w:sz w:val="24"/>
          <w:szCs w:val="24"/>
          <w:rtl/>
        </w:rPr>
        <w:t xml:space="preserve">ר' אבון בשם ר' יהודה בן פזי אמר בתיה בת פרעה בכורה היתה, ובזכות מה היתה ניצולת בתפילתו של משה, הדא הוא דכתיב... </w:t>
      </w:r>
      <w:r w:rsidR="00700A72" w:rsidRPr="00700A72">
        <w:rPr>
          <w:rFonts w:hint="cs"/>
          <w:b/>
          <w:bCs/>
          <w:sz w:val="24"/>
          <w:szCs w:val="24"/>
          <w:rtl/>
        </w:rPr>
        <w:t>לא יכבה בלילה נרה</w:t>
      </w:r>
      <w:r w:rsidR="00700A72" w:rsidRPr="00700A72">
        <w:rPr>
          <w:rFonts w:hint="cs"/>
          <w:sz w:val="24"/>
          <w:szCs w:val="24"/>
          <w:rtl/>
        </w:rPr>
        <w:t>'</w:t>
      </w:r>
      <w:r>
        <w:rPr>
          <w:rFonts w:hint="cs"/>
          <w:sz w:val="24"/>
          <w:szCs w:val="24"/>
          <w:rtl/>
        </w:rPr>
        <w:t>."</w:t>
      </w:r>
      <w:r w:rsidR="00700A72" w:rsidRPr="00DF399B">
        <w:rPr>
          <w:rStyle w:val="a7"/>
          <w:rFonts w:eastAsiaTheme="majorEastAsia"/>
          <w:sz w:val="18"/>
          <w:szCs w:val="18"/>
        </w:rPr>
        <w:footnoteReference w:id="25"/>
      </w:r>
      <w:r w:rsidR="00700A72" w:rsidRPr="00DF399B">
        <w:rPr>
          <w:rFonts w:hint="cs"/>
          <w:sz w:val="18"/>
          <w:szCs w:val="18"/>
          <w:rtl/>
        </w:rPr>
        <w:t xml:space="preserve"> </w:t>
      </w:r>
    </w:p>
    <w:p w:rsidR="00DF399B" w:rsidRPr="00DF399B" w:rsidRDefault="00DF399B" w:rsidP="00684C5B">
      <w:pPr>
        <w:spacing w:line="480" w:lineRule="auto"/>
        <w:ind w:left="720"/>
        <w:jc w:val="right"/>
        <w:rPr>
          <w:sz w:val="22"/>
          <w:rtl/>
        </w:rPr>
      </w:pPr>
      <w:r w:rsidRPr="00DF399B">
        <w:rPr>
          <w:rFonts w:hint="cs"/>
          <w:sz w:val="22"/>
          <w:rtl/>
        </w:rPr>
        <w:t>(ד"ה 'ויהי בחצי הלילה' ז', מהד' מנדלבוים עמ' 129)</w:t>
      </w:r>
    </w:p>
    <w:p w:rsidR="00700A72" w:rsidRPr="00700A72" w:rsidRDefault="007053AF" w:rsidP="00634DC1">
      <w:pPr>
        <w:spacing w:line="480" w:lineRule="auto"/>
        <w:rPr>
          <w:sz w:val="24"/>
          <w:szCs w:val="24"/>
          <w:rtl/>
        </w:rPr>
      </w:pPr>
      <w:r>
        <w:rPr>
          <w:rFonts w:hint="cs"/>
          <w:sz w:val="24"/>
          <w:szCs w:val="24"/>
          <w:rtl/>
        </w:rPr>
        <w:t>ההבדלה בין מצרים לישראל ה</w:t>
      </w:r>
      <w:r w:rsidR="00700A72" w:rsidRPr="00700A72">
        <w:rPr>
          <w:rFonts w:hint="cs"/>
          <w:sz w:val="24"/>
          <w:szCs w:val="24"/>
          <w:rtl/>
        </w:rPr>
        <w:t>מאפיינת את המכות, מתבטאת במכת החושך כהבדלה בין אור לחושך. מוטיב האור והחושך קיים גם בניצחו</w:t>
      </w:r>
      <w:r w:rsidR="00634DC1">
        <w:rPr>
          <w:rFonts w:hint="cs"/>
          <w:sz w:val="24"/>
          <w:szCs w:val="24"/>
          <w:rtl/>
        </w:rPr>
        <w:t>ן הסופי על מצרים, בקריעת ים סוף:</w:t>
      </w:r>
    </w:p>
    <w:p w:rsidR="00700A72" w:rsidRDefault="00DF399B" w:rsidP="00700A72">
      <w:pPr>
        <w:spacing w:line="480" w:lineRule="auto"/>
        <w:ind w:left="720"/>
        <w:rPr>
          <w:sz w:val="24"/>
          <w:szCs w:val="24"/>
          <w:rtl/>
        </w:rPr>
      </w:pPr>
      <w:r>
        <w:rPr>
          <w:rFonts w:hint="cs"/>
          <w:sz w:val="24"/>
          <w:szCs w:val="24"/>
          <w:rtl/>
        </w:rPr>
        <w:t>"</w:t>
      </w:r>
      <w:r w:rsidR="00700A72" w:rsidRPr="00700A72">
        <w:rPr>
          <w:rFonts w:hint="cs"/>
          <w:sz w:val="24"/>
          <w:szCs w:val="24"/>
          <w:rtl/>
        </w:rPr>
        <w:t xml:space="preserve">וַיִּסַּע מַלְאַךְ הָאֱלֹהִים הַהֹלֵךְ לִפְנֵי מַחֲנֵה יִשְׂרָאֵל וַיֵּלֶךְ מֵאַחֲרֵיהֶם... וַיָּבֹא בֵּין מַחֲנֵה מִצְרַיִם וּבֵין מַחֲנֵה יִשְׂרָאֵל </w:t>
      </w:r>
      <w:r w:rsidR="00700A72" w:rsidRPr="00700A72">
        <w:rPr>
          <w:rFonts w:hint="cs"/>
          <w:b/>
          <w:bCs/>
          <w:sz w:val="24"/>
          <w:szCs w:val="24"/>
          <w:rtl/>
        </w:rPr>
        <w:t xml:space="preserve">וַיְהִי הֶעָנָן וְהַחֹשֶׁךְ וַיָּאֶר אֶת הַלָּיְלָה </w:t>
      </w:r>
      <w:r w:rsidR="00700A72" w:rsidRPr="00700A72">
        <w:rPr>
          <w:rFonts w:hint="cs"/>
          <w:sz w:val="24"/>
          <w:szCs w:val="24"/>
          <w:rtl/>
        </w:rPr>
        <w:t>וְלֹא קָרַב זֶה אֶל זֶה כָּל הַלָּיְלָה.</w:t>
      </w:r>
      <w:r>
        <w:rPr>
          <w:rFonts w:hint="cs"/>
          <w:sz w:val="24"/>
          <w:szCs w:val="24"/>
          <w:rtl/>
        </w:rPr>
        <w:t>"</w:t>
      </w:r>
    </w:p>
    <w:p w:rsidR="00CE72E5" w:rsidRPr="00CE72E5" w:rsidRDefault="00CE72E5" w:rsidP="00CE72E5">
      <w:pPr>
        <w:spacing w:line="480" w:lineRule="auto"/>
        <w:ind w:left="720"/>
        <w:jc w:val="right"/>
        <w:rPr>
          <w:sz w:val="22"/>
          <w:rtl/>
        </w:rPr>
      </w:pPr>
      <w:r>
        <w:rPr>
          <w:rFonts w:hint="cs"/>
          <w:sz w:val="22"/>
          <w:rtl/>
        </w:rPr>
        <w:t>(שמות יד, יט-כ)</w:t>
      </w:r>
    </w:p>
    <w:p w:rsidR="00634DC1" w:rsidRDefault="00700A72" w:rsidP="00634DC1">
      <w:pPr>
        <w:spacing w:line="480" w:lineRule="auto"/>
        <w:rPr>
          <w:sz w:val="24"/>
          <w:szCs w:val="24"/>
          <w:rtl/>
        </w:rPr>
      </w:pPr>
      <w:r w:rsidRPr="00700A72">
        <w:rPr>
          <w:rFonts w:hint="cs"/>
          <w:sz w:val="24"/>
          <w:szCs w:val="24"/>
          <w:rtl/>
        </w:rPr>
        <w:t>הקשר בין האור והחושך לבין גא</w:t>
      </w:r>
      <w:r w:rsidR="00634DC1">
        <w:rPr>
          <w:rFonts w:hint="cs"/>
          <w:sz w:val="24"/>
          <w:szCs w:val="24"/>
          <w:rtl/>
        </w:rPr>
        <w:t>ולת מצרים איננו מופיע</w:t>
      </w:r>
      <w:r w:rsidRPr="00700A72">
        <w:rPr>
          <w:rFonts w:hint="cs"/>
          <w:sz w:val="24"/>
          <w:szCs w:val="24"/>
          <w:rtl/>
        </w:rPr>
        <w:t xml:space="preserve"> </w:t>
      </w:r>
      <w:r w:rsidR="00634DC1">
        <w:rPr>
          <w:rFonts w:hint="cs"/>
          <w:sz w:val="24"/>
          <w:szCs w:val="24"/>
          <w:rtl/>
        </w:rPr>
        <w:t>במפורש באגדת הפתיחה למסכת.</w:t>
      </w:r>
      <w:r w:rsidRPr="00700A72">
        <w:rPr>
          <w:rFonts w:hint="cs"/>
          <w:sz w:val="24"/>
          <w:szCs w:val="24"/>
          <w:rtl/>
        </w:rPr>
        <w:t xml:space="preserve"> ברם,</w:t>
      </w:r>
      <w:r w:rsidR="00634DC1">
        <w:rPr>
          <w:rFonts w:hint="cs"/>
          <w:sz w:val="24"/>
          <w:szCs w:val="24"/>
          <w:rtl/>
        </w:rPr>
        <w:t xml:space="preserve"> בין יתר ראיותיה הסוגיא מזכירה</w:t>
      </w:r>
      <w:r w:rsidRPr="00700A72">
        <w:rPr>
          <w:rFonts w:hint="cs"/>
          <w:sz w:val="24"/>
          <w:szCs w:val="24"/>
          <w:rtl/>
        </w:rPr>
        <w:t xml:space="preserve"> את ההבדלה המקורית בין אור לחושך,</w:t>
      </w:r>
      <w:r w:rsidR="00634DC1">
        <w:rPr>
          <w:rFonts w:hint="cs"/>
          <w:sz w:val="24"/>
          <w:szCs w:val="24"/>
          <w:rtl/>
        </w:rPr>
        <w:t xml:space="preserve"> הלוא היא</w:t>
      </w:r>
      <w:r w:rsidRPr="00700A72">
        <w:rPr>
          <w:rFonts w:hint="cs"/>
          <w:sz w:val="24"/>
          <w:szCs w:val="24"/>
          <w:rtl/>
        </w:rPr>
        <w:t xml:space="preserve"> בבריאת העולם. הפסוק השלישי בסדרת הראיות המקרא</w:t>
      </w:r>
      <w:r w:rsidR="00634DC1">
        <w:rPr>
          <w:rFonts w:hint="cs"/>
          <w:sz w:val="24"/>
          <w:szCs w:val="24"/>
          <w:rtl/>
        </w:rPr>
        <w:t>יות לקוח מתיאור הבריאה:</w:t>
      </w:r>
      <w:r w:rsidRPr="00700A72">
        <w:rPr>
          <w:rFonts w:hint="cs"/>
          <w:sz w:val="24"/>
          <w:szCs w:val="24"/>
          <w:rtl/>
        </w:rPr>
        <w:t xml:space="preserve"> </w:t>
      </w:r>
    </w:p>
    <w:p w:rsidR="00634DC1" w:rsidRPr="00CE72E5" w:rsidRDefault="004B766D" w:rsidP="00CE72E5">
      <w:pPr>
        <w:pStyle w:val="aa"/>
        <w:rPr>
          <w:rtl/>
        </w:rPr>
      </w:pPr>
      <w:r w:rsidRPr="00CE72E5">
        <w:rPr>
          <w:rFonts w:hint="cs"/>
          <w:rtl/>
        </w:rPr>
        <w:t>"</w:t>
      </w:r>
      <w:r w:rsidR="00700A72" w:rsidRPr="00CE72E5">
        <w:rPr>
          <w:rFonts w:hint="cs"/>
          <w:rtl/>
        </w:rPr>
        <w:t xml:space="preserve">מיתיבי, 'ויקרא אלהים לאור יום' </w:t>
      </w:r>
      <w:r w:rsidR="00700A72" w:rsidRPr="00CE72E5">
        <w:rPr>
          <w:rtl/>
        </w:rPr>
        <w:t>–</w:t>
      </w:r>
      <w:r w:rsidR="00700A72" w:rsidRPr="00CE72E5">
        <w:rPr>
          <w:rFonts w:hint="cs"/>
          <w:rtl/>
        </w:rPr>
        <w:t xml:space="preserve"> אלמא אור יממא ה</w:t>
      </w:r>
      <w:r w:rsidRPr="00CE72E5">
        <w:rPr>
          <w:rFonts w:hint="cs"/>
          <w:rtl/>
        </w:rPr>
        <w:t>וא..."</w:t>
      </w:r>
      <w:r w:rsidR="00700A72" w:rsidRPr="00CE72E5">
        <w:rPr>
          <w:rFonts w:hint="cs"/>
          <w:rtl/>
        </w:rPr>
        <w:t>.</w:t>
      </w:r>
    </w:p>
    <w:p w:rsidR="00700A72" w:rsidRPr="00700A72" w:rsidRDefault="00700A72" w:rsidP="004B766D">
      <w:pPr>
        <w:spacing w:line="480" w:lineRule="auto"/>
        <w:rPr>
          <w:sz w:val="24"/>
          <w:szCs w:val="24"/>
          <w:rtl/>
        </w:rPr>
      </w:pPr>
      <w:r w:rsidRPr="00700A72">
        <w:rPr>
          <w:rFonts w:hint="cs"/>
          <w:sz w:val="24"/>
          <w:szCs w:val="24"/>
          <w:rtl/>
        </w:rPr>
        <w:t>הקשר בין האור בבריאה למוטיב האור והחושך ביציאת מצרים קיים כבר במדרש אמוראי שקדום ל</w:t>
      </w:r>
      <w:r w:rsidR="00634DC1">
        <w:rPr>
          <w:rFonts w:hint="cs"/>
          <w:sz w:val="24"/>
          <w:szCs w:val="24"/>
          <w:rtl/>
        </w:rPr>
        <w:t xml:space="preserve">תלמוד </w:t>
      </w:r>
      <w:r w:rsidRPr="00700A72">
        <w:rPr>
          <w:rFonts w:hint="cs"/>
          <w:sz w:val="24"/>
          <w:szCs w:val="24"/>
          <w:rtl/>
        </w:rPr>
        <w:t>בבלי</w:t>
      </w:r>
      <w:r w:rsidR="004B766D">
        <w:rPr>
          <w:rFonts w:hint="cs"/>
          <w:sz w:val="24"/>
          <w:szCs w:val="24"/>
          <w:rtl/>
        </w:rPr>
        <w:t>:</w:t>
      </w:r>
      <w:r w:rsidRPr="00700A72">
        <w:rPr>
          <w:rFonts w:hint="cs"/>
          <w:sz w:val="24"/>
          <w:szCs w:val="24"/>
          <w:rtl/>
        </w:rPr>
        <w:t xml:space="preserve"> </w:t>
      </w:r>
    </w:p>
    <w:p w:rsidR="00700A72" w:rsidRPr="00700A72" w:rsidRDefault="004B766D" w:rsidP="00CE72E5">
      <w:pPr>
        <w:pStyle w:val="aa"/>
        <w:rPr>
          <w:rtl/>
        </w:rPr>
      </w:pPr>
      <w:r>
        <w:rPr>
          <w:rFonts w:hint="cs"/>
          <w:rtl/>
        </w:rPr>
        <w:t>"</w:t>
      </w:r>
      <w:r w:rsidR="00700A72" w:rsidRPr="00700A72">
        <w:rPr>
          <w:rFonts w:hint="cs"/>
          <w:rtl/>
        </w:rPr>
        <w:t xml:space="preserve">... ויהי אור </w:t>
      </w:r>
      <w:r w:rsidR="00700A72" w:rsidRPr="00700A72">
        <w:rPr>
          <w:rtl/>
        </w:rPr>
        <w:t>–</w:t>
      </w:r>
      <w:r w:rsidR="00700A72" w:rsidRPr="00700A72">
        <w:rPr>
          <w:rFonts w:hint="cs"/>
          <w:rtl/>
        </w:rPr>
        <w:t xml:space="preserve"> כנגד ספר ואלה שמות שבו</w:t>
      </w:r>
      <w:r>
        <w:rPr>
          <w:rFonts w:hint="cs"/>
          <w:rtl/>
        </w:rPr>
        <w:t xml:space="preserve"> יצאו ישראל ממצרים מאפילה לאורה"</w:t>
      </w:r>
      <w:r w:rsidR="00700A72" w:rsidRPr="00700A72">
        <w:rPr>
          <w:rFonts w:hint="cs"/>
          <w:rtl/>
        </w:rPr>
        <w:t>.</w:t>
      </w:r>
    </w:p>
    <w:p w:rsidR="004B766D" w:rsidRDefault="004B766D" w:rsidP="00AA189D">
      <w:pPr>
        <w:spacing w:line="480" w:lineRule="auto"/>
        <w:jc w:val="right"/>
        <w:rPr>
          <w:sz w:val="22"/>
          <w:rtl/>
        </w:rPr>
      </w:pPr>
      <w:r w:rsidRPr="004B766D">
        <w:rPr>
          <w:rFonts w:hint="cs"/>
          <w:sz w:val="22"/>
          <w:rtl/>
        </w:rPr>
        <w:t>(בראשית רבה, פר' ג [מהד' תיאודור-אלבק עמ' 21])</w:t>
      </w:r>
    </w:p>
    <w:p w:rsidR="00AA189D" w:rsidRPr="00AA189D" w:rsidRDefault="00AA189D" w:rsidP="00AA189D">
      <w:pPr>
        <w:spacing w:line="480" w:lineRule="auto"/>
        <w:jc w:val="right"/>
        <w:rPr>
          <w:sz w:val="22"/>
          <w:rtl/>
        </w:rPr>
      </w:pPr>
    </w:p>
    <w:p w:rsidR="00700A72" w:rsidRPr="00700A72" w:rsidRDefault="00AA189D" w:rsidP="00AA189D">
      <w:pPr>
        <w:spacing w:line="480" w:lineRule="auto"/>
        <w:rPr>
          <w:sz w:val="24"/>
          <w:szCs w:val="24"/>
          <w:rtl/>
        </w:rPr>
      </w:pPr>
      <w:r>
        <w:rPr>
          <w:rFonts w:hint="cs"/>
          <w:sz w:val="24"/>
          <w:szCs w:val="24"/>
          <w:rtl/>
        </w:rPr>
        <w:t xml:space="preserve">רעיון זה מופיע </w:t>
      </w:r>
      <w:r w:rsidR="00700A72" w:rsidRPr="00700A72">
        <w:rPr>
          <w:rFonts w:hint="cs"/>
          <w:sz w:val="24"/>
          <w:szCs w:val="24"/>
          <w:rtl/>
        </w:rPr>
        <w:t xml:space="preserve">באופן מפורש </w:t>
      </w:r>
      <w:r>
        <w:rPr>
          <w:rFonts w:hint="cs"/>
          <w:sz w:val="24"/>
          <w:szCs w:val="24"/>
          <w:rtl/>
        </w:rPr>
        <w:t>אף יותר</w:t>
      </w:r>
      <w:r w:rsidR="00700A72" w:rsidRPr="00700A72">
        <w:rPr>
          <w:rFonts w:hint="cs"/>
          <w:sz w:val="24"/>
          <w:szCs w:val="24"/>
          <w:rtl/>
        </w:rPr>
        <w:t xml:space="preserve"> במדרש הבא</w:t>
      </w:r>
      <w:r>
        <w:rPr>
          <w:rFonts w:hint="cs"/>
          <w:sz w:val="24"/>
          <w:szCs w:val="24"/>
          <w:rtl/>
        </w:rPr>
        <w:t>, המובא בילקוט שמעוני בראשית</w:t>
      </w:r>
      <w:r w:rsidR="00700A72" w:rsidRPr="00700A72">
        <w:rPr>
          <w:rFonts w:hint="cs"/>
          <w:sz w:val="24"/>
          <w:szCs w:val="24"/>
          <w:rtl/>
        </w:rPr>
        <w:t xml:space="preserve">: </w:t>
      </w:r>
    </w:p>
    <w:p w:rsidR="00700A72" w:rsidRDefault="00CE72E5" w:rsidP="00700A72">
      <w:pPr>
        <w:spacing w:line="480" w:lineRule="auto"/>
        <w:ind w:left="720"/>
        <w:rPr>
          <w:sz w:val="24"/>
          <w:szCs w:val="24"/>
          <w:rtl/>
        </w:rPr>
      </w:pPr>
      <w:r>
        <w:rPr>
          <w:rFonts w:hint="cs"/>
          <w:sz w:val="24"/>
          <w:szCs w:val="24"/>
          <w:rtl/>
        </w:rPr>
        <w:t>"</w:t>
      </w:r>
      <w:r w:rsidR="00700A72" w:rsidRPr="00700A72">
        <w:rPr>
          <w:rFonts w:hint="cs"/>
          <w:sz w:val="24"/>
          <w:szCs w:val="24"/>
          <w:rtl/>
        </w:rPr>
        <w:t xml:space="preserve">הקב"ה נמלך במלאכים, אמר להן... </w:t>
      </w:r>
      <w:r w:rsidR="00700A72" w:rsidRPr="00700A72">
        <w:rPr>
          <w:rFonts w:hint="cs"/>
          <w:b/>
          <w:bCs/>
          <w:sz w:val="24"/>
          <w:szCs w:val="24"/>
          <w:rtl/>
        </w:rPr>
        <w:t>כשם שהבדלתי בין אור לחשך כך במצרים ולכל בני ישראל היה אור במושבותם</w:t>
      </w:r>
      <w:r>
        <w:rPr>
          <w:rFonts w:hint="cs"/>
          <w:sz w:val="24"/>
          <w:szCs w:val="24"/>
          <w:rtl/>
        </w:rPr>
        <w:t>"</w:t>
      </w:r>
      <w:r w:rsidR="00700A72" w:rsidRPr="00700A72">
        <w:rPr>
          <w:rFonts w:hint="cs"/>
          <w:sz w:val="24"/>
          <w:szCs w:val="24"/>
          <w:rtl/>
        </w:rPr>
        <w:t>.</w:t>
      </w:r>
    </w:p>
    <w:p w:rsidR="00AA189D" w:rsidRPr="00AA189D" w:rsidRDefault="00AA189D" w:rsidP="00AA189D">
      <w:pPr>
        <w:spacing w:line="480" w:lineRule="auto"/>
        <w:ind w:left="720"/>
        <w:jc w:val="right"/>
        <w:rPr>
          <w:sz w:val="22"/>
          <w:rtl/>
        </w:rPr>
      </w:pPr>
      <w:r w:rsidRPr="00AA189D">
        <w:rPr>
          <w:rFonts w:hint="cs"/>
          <w:sz w:val="22"/>
          <w:rtl/>
        </w:rPr>
        <w:t>(ילקוט שמעוני בראשית, רמז יז)</w:t>
      </w:r>
    </w:p>
    <w:p w:rsidR="00CE72E5" w:rsidRDefault="00700A72" w:rsidP="00700A72">
      <w:pPr>
        <w:spacing w:line="480" w:lineRule="auto"/>
        <w:rPr>
          <w:sz w:val="24"/>
          <w:szCs w:val="24"/>
          <w:rtl/>
        </w:rPr>
      </w:pPr>
      <w:r w:rsidRPr="00700A72">
        <w:rPr>
          <w:rFonts w:hint="cs"/>
          <w:sz w:val="24"/>
          <w:szCs w:val="24"/>
          <w:rtl/>
        </w:rPr>
        <w:t>יתר על כן, רמז לסיפור יציאת מצרים קיים ב</w:t>
      </w:r>
      <w:r w:rsidR="001C6CBB">
        <w:rPr>
          <w:rFonts w:hint="cs"/>
          <w:sz w:val="24"/>
          <w:szCs w:val="24"/>
          <w:rtl/>
        </w:rPr>
        <w:t>פסוק הראשון שמביאה הגמ'</w:t>
      </w:r>
      <w:r w:rsidRPr="00700A72">
        <w:rPr>
          <w:rFonts w:hint="cs"/>
          <w:sz w:val="24"/>
          <w:szCs w:val="24"/>
          <w:rtl/>
        </w:rPr>
        <w:t xml:space="preserve">: </w:t>
      </w:r>
    </w:p>
    <w:p w:rsidR="001C6CBB" w:rsidRDefault="00FF14F1" w:rsidP="00CE72E5">
      <w:pPr>
        <w:pStyle w:val="aa"/>
        <w:rPr>
          <w:rtl/>
        </w:rPr>
      </w:pPr>
      <w:r>
        <w:rPr>
          <w:rFonts w:hint="cs"/>
          <w:rtl/>
        </w:rPr>
        <w:t>"</w:t>
      </w:r>
      <w:r w:rsidR="00CE72E5" w:rsidRPr="00CE72E5">
        <w:rPr>
          <w:rtl/>
        </w:rPr>
        <w:t>הַבֹּקֶר אוֹר וְהָאֲנָשִׁים שֻׁלְּחוּ</w:t>
      </w:r>
      <w:r>
        <w:rPr>
          <w:rFonts w:hint="cs"/>
          <w:rtl/>
        </w:rPr>
        <w:t>"</w:t>
      </w:r>
    </w:p>
    <w:p w:rsidR="001C6CBB" w:rsidRDefault="001C6CBB" w:rsidP="00FF14F1">
      <w:pPr>
        <w:pStyle w:val="aa"/>
        <w:jc w:val="right"/>
        <w:rPr>
          <w:rtl/>
        </w:rPr>
      </w:pPr>
      <w:r w:rsidRPr="00FF14F1">
        <w:rPr>
          <w:rFonts w:hint="cs"/>
          <w:sz w:val="22"/>
          <w:szCs w:val="22"/>
          <w:rtl/>
        </w:rPr>
        <w:t xml:space="preserve">             </w:t>
      </w:r>
      <w:r w:rsidR="00684C5B">
        <w:rPr>
          <w:rFonts w:hint="cs"/>
          <w:sz w:val="22"/>
          <w:szCs w:val="22"/>
          <w:rtl/>
        </w:rPr>
        <w:t>(בראשית מ"ד, ג)</w:t>
      </w:r>
      <w:bookmarkStart w:id="4" w:name="_GoBack"/>
      <w:bookmarkEnd w:id="4"/>
    </w:p>
    <w:p w:rsidR="00700A72" w:rsidRPr="00700A72" w:rsidRDefault="00700A72" w:rsidP="001C6CBB">
      <w:pPr>
        <w:spacing w:line="480" w:lineRule="auto"/>
        <w:rPr>
          <w:sz w:val="24"/>
          <w:szCs w:val="24"/>
          <w:rtl/>
        </w:rPr>
      </w:pPr>
      <w:r w:rsidRPr="00700A72">
        <w:rPr>
          <w:rFonts w:hint="cs"/>
          <w:sz w:val="24"/>
          <w:szCs w:val="24"/>
          <w:rtl/>
        </w:rPr>
        <w:t>פסוק זה לקוח מפרשת יוסף ואחיו, שהיא</w:t>
      </w:r>
      <w:r w:rsidR="001C6CBB">
        <w:rPr>
          <w:rFonts w:hint="cs"/>
          <w:sz w:val="24"/>
          <w:szCs w:val="24"/>
          <w:rtl/>
        </w:rPr>
        <w:t xml:space="preserve"> למעשה </w:t>
      </w:r>
      <w:r w:rsidRPr="00700A72">
        <w:rPr>
          <w:rFonts w:hint="cs"/>
          <w:sz w:val="24"/>
          <w:szCs w:val="24"/>
          <w:rtl/>
        </w:rPr>
        <w:t xml:space="preserve"> תחילת</w:t>
      </w:r>
      <w:r w:rsidR="001C6CBB">
        <w:rPr>
          <w:rFonts w:hint="cs"/>
          <w:sz w:val="24"/>
          <w:szCs w:val="24"/>
          <w:rtl/>
        </w:rPr>
        <w:t>ה של הירידה למצרים, שהביאה עמה את השעבוד. ה'פני יהושע' על אתר</w:t>
      </w:r>
      <w:r w:rsidRPr="00700A72">
        <w:rPr>
          <w:rFonts w:hint="cs"/>
          <w:sz w:val="24"/>
          <w:szCs w:val="24"/>
          <w:rtl/>
        </w:rPr>
        <w:t xml:space="preserve"> </w:t>
      </w:r>
      <w:r w:rsidR="001C6CBB">
        <w:rPr>
          <w:rFonts w:hint="cs"/>
          <w:sz w:val="24"/>
          <w:szCs w:val="24"/>
          <w:rtl/>
        </w:rPr>
        <w:t xml:space="preserve">עמד </w:t>
      </w:r>
      <w:r w:rsidRPr="00700A72">
        <w:rPr>
          <w:rFonts w:hint="cs"/>
          <w:sz w:val="24"/>
          <w:szCs w:val="24"/>
          <w:rtl/>
        </w:rPr>
        <w:t xml:space="preserve">על כך שפסוק מהמשכה של אותה פרשה </w:t>
      </w:r>
      <w:r w:rsidR="001C6CBB">
        <w:rPr>
          <w:rFonts w:hint="cs"/>
          <w:sz w:val="24"/>
          <w:szCs w:val="24"/>
          <w:rtl/>
        </w:rPr>
        <w:t>העוסק בחיפוש באמתחת בנימין,</w:t>
      </w:r>
      <w:r w:rsidRPr="00700A72">
        <w:rPr>
          <w:rFonts w:hint="cs"/>
          <w:sz w:val="24"/>
          <w:szCs w:val="24"/>
          <w:rtl/>
        </w:rPr>
        <w:t xml:space="preserve"> מובא בהמשך הפרק</w:t>
      </w:r>
      <w:r w:rsidR="001C6CBB">
        <w:rPr>
          <w:rFonts w:hint="cs"/>
          <w:sz w:val="24"/>
          <w:szCs w:val="24"/>
          <w:rtl/>
        </w:rPr>
        <w:t xml:space="preserve"> בדף ז ע"ב</w:t>
      </w:r>
      <w:r w:rsidRPr="00700A72">
        <w:rPr>
          <w:rFonts w:hint="cs"/>
          <w:sz w:val="24"/>
          <w:szCs w:val="24"/>
          <w:rtl/>
        </w:rPr>
        <w:t xml:space="preserve"> כחלק מהדרשה שמשמשת הסבר לשימוש בנר בבדיקת חמץ.</w:t>
      </w:r>
      <w:r w:rsidRPr="00700A72">
        <w:rPr>
          <w:rStyle w:val="a7"/>
          <w:rFonts w:eastAsiaTheme="majorEastAsia"/>
          <w:sz w:val="24"/>
          <w:szCs w:val="24"/>
        </w:rPr>
        <w:t xml:space="preserve"> </w:t>
      </w:r>
      <w:r w:rsidRPr="001C6CBB">
        <w:rPr>
          <w:rStyle w:val="a7"/>
          <w:rFonts w:eastAsiaTheme="majorEastAsia"/>
          <w:sz w:val="18"/>
          <w:szCs w:val="18"/>
        </w:rPr>
        <w:footnoteReference w:id="26"/>
      </w:r>
    </w:p>
    <w:p w:rsidR="00700A72" w:rsidRPr="00700A72" w:rsidRDefault="00700A72" w:rsidP="001C6CBB">
      <w:pPr>
        <w:spacing w:line="480" w:lineRule="auto"/>
        <w:rPr>
          <w:sz w:val="24"/>
          <w:szCs w:val="24"/>
          <w:rtl/>
        </w:rPr>
      </w:pPr>
      <w:r w:rsidRPr="00700A72">
        <w:rPr>
          <w:rFonts w:hint="cs"/>
          <w:sz w:val="24"/>
          <w:szCs w:val="24"/>
          <w:rtl/>
        </w:rPr>
        <w:lastRenderedPageBreak/>
        <w:t>מהמקורות המובאים לעיל ניתן לסכם ולומר כי ההבדלה בין אור לחושך, והמעבר מחושך לאור קיימים במקרא ובחז"ל</w:t>
      </w:r>
      <w:r w:rsidRPr="00ED086D">
        <w:rPr>
          <w:rStyle w:val="a7"/>
          <w:rFonts w:eastAsiaTheme="majorEastAsia"/>
          <w:sz w:val="18"/>
          <w:szCs w:val="18"/>
          <w:rtl/>
        </w:rPr>
        <w:footnoteReference w:id="27"/>
      </w:r>
      <w:r w:rsidRPr="00700A72">
        <w:rPr>
          <w:rFonts w:hint="cs"/>
          <w:sz w:val="24"/>
          <w:szCs w:val="24"/>
          <w:rtl/>
        </w:rPr>
        <w:t xml:space="preserve"> כסמלים מובהקים שקשורים ביציאת מצרים. ניתן להסיק בסבירות גבוהה שהצבה מכוונת של סוגיא אגדית, שמעוצבת באופן ספר</w:t>
      </w:r>
      <w:r w:rsidR="00CB184F">
        <w:rPr>
          <w:rFonts w:hint="cs"/>
          <w:sz w:val="24"/>
          <w:szCs w:val="24"/>
          <w:rtl/>
        </w:rPr>
        <w:t>ותי ועוסקת בהבחנה בין אור לחושך</w:t>
      </w:r>
      <w:r w:rsidRPr="00700A72">
        <w:rPr>
          <w:rFonts w:hint="cs"/>
          <w:sz w:val="24"/>
          <w:szCs w:val="24"/>
          <w:rtl/>
        </w:rPr>
        <w:t xml:space="preserve"> בפתיחת מסכת פסחים, מתבססת על הקשר ההדוק בין המוטיב של אור וחושך לבין גאולת מצרים (שאף נרמז, כאמור, בחלק מראיות הסוגיא).</w:t>
      </w:r>
    </w:p>
    <w:p w:rsidR="00700A72" w:rsidRPr="00700A72" w:rsidRDefault="00700A72" w:rsidP="00700A72">
      <w:pPr>
        <w:spacing w:line="480" w:lineRule="auto"/>
        <w:rPr>
          <w:sz w:val="24"/>
          <w:szCs w:val="24"/>
          <w:rtl/>
        </w:rPr>
      </w:pPr>
      <w:r w:rsidRPr="00700A72">
        <w:rPr>
          <w:rFonts w:hint="cs"/>
          <w:sz w:val="24"/>
          <w:szCs w:val="24"/>
          <w:rtl/>
        </w:rPr>
        <w:t>מעבר לקשר הכללי בין מוטיב האור והחושך לבין חג הפסח ויציאת מצרים,</w:t>
      </w:r>
      <w:r w:rsidR="00CB184F">
        <w:rPr>
          <w:rFonts w:hint="cs"/>
          <w:sz w:val="24"/>
          <w:szCs w:val="24"/>
          <w:rtl/>
        </w:rPr>
        <w:t xml:space="preserve"> מתקשרת במיוחד מצוות בדיקת החמץ</w:t>
      </w:r>
      <w:r w:rsidRPr="00700A72">
        <w:rPr>
          <w:rFonts w:hint="cs"/>
          <w:sz w:val="24"/>
          <w:szCs w:val="24"/>
          <w:rtl/>
        </w:rPr>
        <w:t xml:space="preserve"> הנידונה ביחידה הראשונה במסכת, למוטיב הנ"ל. דין המשנה הוא שהבדיקה נעשית בלילה שלפני הפסח, לאור הנר. הארת פינות הבית השונות בחשכת הלילה על ידי הנר, מתקשרת באופן סימבולי פשוט להארת הלילה, הממשית והסמלית, על ידי הקב"ה בגאולת מצרים, כפי שראינו לעיל.</w:t>
      </w:r>
    </w:p>
    <w:p w:rsidR="00700A72" w:rsidRPr="00700A72" w:rsidRDefault="00700A72" w:rsidP="00700A72">
      <w:pPr>
        <w:spacing w:line="480" w:lineRule="auto"/>
        <w:rPr>
          <w:sz w:val="24"/>
          <w:szCs w:val="24"/>
          <w:rtl/>
        </w:rPr>
      </w:pPr>
      <w:r w:rsidRPr="00700A72">
        <w:rPr>
          <w:rFonts w:hint="cs"/>
          <w:sz w:val="24"/>
          <w:szCs w:val="24"/>
          <w:rtl/>
        </w:rPr>
        <w:t>בשיעור הבא נעסוק אי"ה באגדה שבסוף פרק שלישי ונראה כיצד היא מתקשרת לאגדה שבתחילת פרק א'.</w:t>
      </w:r>
    </w:p>
    <w:tbl>
      <w:tblPr>
        <w:tblpPr w:leftFromText="180" w:rightFromText="180" w:vertAnchor="text" w:horzAnchor="margin" w:tblpY="88"/>
        <w:tblW w:w="0" w:type="auto"/>
        <w:tblLayout w:type="fixed"/>
        <w:tblLook w:val="0000" w:firstRow="0" w:lastRow="0" w:firstColumn="0" w:lastColumn="0" w:noHBand="0" w:noVBand="0"/>
      </w:tblPr>
      <w:tblGrid>
        <w:gridCol w:w="284"/>
        <w:gridCol w:w="4111"/>
        <w:gridCol w:w="283"/>
      </w:tblGrid>
      <w:tr w:rsidR="00191BD4" w:rsidRPr="006C5C67" w:rsidTr="00A37D1E">
        <w:tc>
          <w:tcPr>
            <w:tcW w:w="284" w:type="dxa"/>
            <w:tcBorders>
              <w:top w:val="nil"/>
              <w:left w:val="nil"/>
              <w:bottom w:val="nil"/>
              <w:right w:val="nil"/>
            </w:tcBorders>
          </w:tcPr>
          <w:p w:rsidR="00191BD4" w:rsidRPr="006C5C67" w:rsidRDefault="00191BD4" w:rsidP="00A37D1E">
            <w:pPr>
              <w:pStyle w:val="ad"/>
              <w:rPr>
                <w:noProof w:val="0"/>
                <w:rtl/>
              </w:rPr>
            </w:pPr>
            <w:r w:rsidRPr="006C5C67">
              <w:rPr>
                <w:noProof w:val="0"/>
                <w:rtl/>
              </w:rPr>
              <w:t>*</w:t>
            </w:r>
          </w:p>
        </w:tc>
        <w:tc>
          <w:tcPr>
            <w:tcW w:w="4111" w:type="dxa"/>
            <w:tcBorders>
              <w:top w:val="nil"/>
              <w:left w:val="nil"/>
              <w:bottom w:val="nil"/>
              <w:right w:val="nil"/>
            </w:tcBorders>
          </w:tcPr>
          <w:p w:rsidR="00191BD4" w:rsidRPr="006C5C67" w:rsidRDefault="00191BD4" w:rsidP="00A37D1E">
            <w:pPr>
              <w:pStyle w:val="ad"/>
              <w:rPr>
                <w:noProof w:val="0"/>
                <w:rtl/>
              </w:rPr>
            </w:pPr>
            <w:r w:rsidRPr="006C5C67">
              <w:rPr>
                <w:noProof w:val="0"/>
                <w:rtl/>
              </w:rPr>
              <w:t>**********************************************************</w:t>
            </w:r>
          </w:p>
        </w:tc>
        <w:tc>
          <w:tcPr>
            <w:tcW w:w="283" w:type="dxa"/>
            <w:tcBorders>
              <w:top w:val="nil"/>
              <w:left w:val="nil"/>
              <w:bottom w:val="nil"/>
              <w:right w:val="nil"/>
            </w:tcBorders>
          </w:tcPr>
          <w:p w:rsidR="00191BD4" w:rsidRPr="006C5C67" w:rsidRDefault="00191BD4" w:rsidP="00A37D1E">
            <w:pPr>
              <w:pStyle w:val="ad"/>
              <w:rPr>
                <w:noProof w:val="0"/>
                <w:rtl/>
              </w:rPr>
            </w:pPr>
            <w:r w:rsidRPr="006C5C67">
              <w:rPr>
                <w:noProof w:val="0"/>
                <w:rtl/>
              </w:rPr>
              <w:t>*</w:t>
            </w:r>
          </w:p>
        </w:tc>
      </w:tr>
      <w:tr w:rsidR="00191BD4" w:rsidRPr="006C5C67" w:rsidTr="00A37D1E">
        <w:tc>
          <w:tcPr>
            <w:tcW w:w="284" w:type="dxa"/>
            <w:tcBorders>
              <w:top w:val="nil"/>
              <w:left w:val="nil"/>
              <w:bottom w:val="nil"/>
              <w:right w:val="nil"/>
            </w:tcBorders>
          </w:tcPr>
          <w:p w:rsidR="00191BD4" w:rsidRPr="006C5C67" w:rsidRDefault="00191BD4" w:rsidP="00A37D1E">
            <w:pPr>
              <w:pStyle w:val="ad"/>
              <w:rPr>
                <w:noProof w:val="0"/>
                <w:rtl/>
              </w:rPr>
            </w:pPr>
            <w:r w:rsidRPr="006C5C67">
              <w:rPr>
                <w:noProof w:val="0"/>
                <w:rtl/>
              </w:rPr>
              <w:t xml:space="preserve">* * * * * * * * * * </w:t>
            </w:r>
          </w:p>
        </w:tc>
        <w:tc>
          <w:tcPr>
            <w:tcW w:w="4111" w:type="dxa"/>
            <w:tcBorders>
              <w:top w:val="nil"/>
              <w:left w:val="nil"/>
              <w:bottom w:val="nil"/>
              <w:right w:val="nil"/>
            </w:tcBorders>
          </w:tcPr>
          <w:p w:rsidR="00191BD4" w:rsidRPr="006C5C67" w:rsidRDefault="00191BD4" w:rsidP="00A37D1E">
            <w:pPr>
              <w:pStyle w:val="ad"/>
              <w:rPr>
                <w:noProof w:val="0"/>
                <w:rtl/>
              </w:rPr>
            </w:pPr>
            <w:r w:rsidRPr="006C5C67">
              <w:rPr>
                <w:noProof w:val="0"/>
                <w:rtl/>
              </w:rPr>
              <w:t>כל הזכויות שמורות לישיבת הר עציון וליונתן פיינטוך, תשע"ו</w:t>
            </w:r>
          </w:p>
          <w:p w:rsidR="00191BD4" w:rsidRPr="006C5C67" w:rsidRDefault="00191BD4" w:rsidP="00A37D1E">
            <w:pPr>
              <w:pStyle w:val="ad"/>
              <w:rPr>
                <w:noProof w:val="0"/>
                <w:rtl/>
              </w:rPr>
            </w:pPr>
            <w:r>
              <w:rPr>
                <w:noProof w:val="0"/>
                <w:rtl/>
              </w:rPr>
              <w:t>עורך: אלישע אורון</w:t>
            </w:r>
          </w:p>
          <w:p w:rsidR="00191BD4" w:rsidRPr="006C5C67" w:rsidRDefault="00191BD4" w:rsidP="00A37D1E">
            <w:pPr>
              <w:pStyle w:val="ad"/>
              <w:rPr>
                <w:noProof w:val="0"/>
                <w:rtl/>
              </w:rPr>
            </w:pPr>
            <w:r w:rsidRPr="006C5C67">
              <w:rPr>
                <w:noProof w:val="0"/>
                <w:rtl/>
              </w:rPr>
              <w:t>*******************************************************</w:t>
            </w:r>
          </w:p>
          <w:p w:rsidR="00191BD4" w:rsidRPr="006C5C67" w:rsidRDefault="00191BD4" w:rsidP="00A37D1E">
            <w:pPr>
              <w:pStyle w:val="ad"/>
              <w:rPr>
                <w:noProof w:val="0"/>
                <w:rtl/>
              </w:rPr>
            </w:pPr>
          </w:p>
          <w:p w:rsidR="00191BD4" w:rsidRPr="006C5C67" w:rsidRDefault="00191BD4" w:rsidP="00A37D1E">
            <w:pPr>
              <w:pStyle w:val="ad"/>
              <w:rPr>
                <w:noProof w:val="0"/>
                <w:rtl/>
              </w:rPr>
            </w:pPr>
            <w:r w:rsidRPr="006C5C67">
              <w:rPr>
                <w:noProof w:val="0"/>
                <w:rtl/>
              </w:rPr>
              <w:t>בית המדרש הוירטואלי שליד ישיבת הר עציון</w:t>
            </w:r>
          </w:p>
          <w:p w:rsidR="00191BD4" w:rsidRPr="006C5C67" w:rsidRDefault="00191BD4" w:rsidP="00A37D1E">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191BD4" w:rsidRPr="006C5C67" w:rsidRDefault="00191BD4" w:rsidP="00A37D1E">
            <w:pPr>
              <w:pStyle w:val="ad"/>
              <w:rPr>
                <w:noProof w:val="0"/>
                <w:rtl/>
              </w:rPr>
            </w:pPr>
            <w:r w:rsidRPr="006C5C67">
              <w:rPr>
                <w:noProof w:val="0"/>
                <w:rtl/>
              </w:rPr>
              <w:t>האתר באנגלית:</w:t>
            </w:r>
            <w:r w:rsidRPr="006C5C67">
              <w:rPr>
                <w:noProof w:val="0"/>
                <w:rtl/>
              </w:rPr>
              <w:tab/>
            </w:r>
            <w:r w:rsidRPr="006C5C67">
              <w:t xml:space="preserve">http://www.etzion.org.il/en </w:t>
            </w:r>
          </w:p>
          <w:p w:rsidR="00191BD4" w:rsidRPr="006C5C67" w:rsidRDefault="00191BD4" w:rsidP="00A37D1E">
            <w:pPr>
              <w:pStyle w:val="ad"/>
              <w:rPr>
                <w:noProof w:val="0"/>
                <w:rtl/>
              </w:rPr>
            </w:pPr>
          </w:p>
          <w:p w:rsidR="00191BD4" w:rsidRPr="00027EFA" w:rsidRDefault="00191BD4" w:rsidP="00A37D1E">
            <w:pPr>
              <w:pStyle w:val="ad"/>
              <w:rPr>
                <w:noProof w:val="0"/>
                <w:rtl/>
              </w:rPr>
            </w:pPr>
            <w:r w:rsidRPr="006C5C67">
              <w:rPr>
                <w:noProof w:val="0"/>
                <w:rtl/>
              </w:rPr>
              <w:t>משרדי בית המדרש הוירטואלי: 02-9937300 שלוח</w:t>
            </w:r>
            <w:r w:rsidRPr="00027EFA">
              <w:rPr>
                <w:noProof w:val="0"/>
                <w:rtl/>
              </w:rPr>
              <w:t xml:space="preserve">ה 5 </w:t>
            </w:r>
          </w:p>
          <w:p w:rsidR="00191BD4" w:rsidRPr="00027EFA" w:rsidRDefault="00191BD4" w:rsidP="00A37D1E">
            <w:pPr>
              <w:pStyle w:val="ad"/>
              <w:rPr>
                <w:noProof w:val="0"/>
                <w:rtl/>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191BD4" w:rsidRPr="006C5C67" w:rsidRDefault="00191BD4" w:rsidP="00A37D1E">
            <w:pPr>
              <w:pStyle w:val="ad"/>
              <w:rPr>
                <w:noProof w:val="0"/>
                <w:rtl/>
              </w:rPr>
            </w:pPr>
            <w:r w:rsidRPr="006C5C67">
              <w:rPr>
                <w:noProof w:val="0"/>
                <w:rtl/>
              </w:rPr>
              <w:t>* * * * * * * * * *</w:t>
            </w:r>
          </w:p>
        </w:tc>
      </w:tr>
    </w:tbl>
    <w:p w:rsidR="0091469D" w:rsidRPr="00700A72" w:rsidRDefault="0091469D" w:rsidP="00700A72">
      <w:pPr>
        <w:spacing w:line="480" w:lineRule="auto"/>
        <w:rPr>
          <w:sz w:val="24"/>
          <w:szCs w:val="24"/>
          <w:rtl/>
        </w:rPr>
      </w:pPr>
    </w:p>
    <w:sectPr w:rsidR="0091469D" w:rsidRPr="00700A72" w:rsidSect="00700A72">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77" w:rsidRDefault="001C1C77" w:rsidP="006B4438">
      <w:r>
        <w:separator/>
      </w:r>
    </w:p>
    <w:p w:rsidR="001C1C77" w:rsidRDefault="001C1C77" w:rsidP="006B4438"/>
    <w:p w:rsidR="001C1C77" w:rsidRDefault="001C1C77"/>
  </w:endnote>
  <w:endnote w:type="continuationSeparator" w:id="0">
    <w:p w:rsidR="001C1C77" w:rsidRDefault="001C1C77" w:rsidP="006B4438">
      <w:r>
        <w:continuationSeparator/>
      </w:r>
    </w:p>
    <w:p w:rsidR="001C1C77" w:rsidRDefault="001C1C77" w:rsidP="006B4438"/>
    <w:p w:rsidR="001C1C77" w:rsidRDefault="001C1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77" w:rsidRDefault="001C1C77" w:rsidP="00023123">
      <w:r>
        <w:separator/>
      </w:r>
    </w:p>
  </w:footnote>
  <w:footnote w:type="continuationSeparator" w:id="0">
    <w:p w:rsidR="001C1C77" w:rsidRDefault="001C1C77" w:rsidP="00023123">
      <w:r>
        <w:continuationSeparator/>
      </w:r>
    </w:p>
  </w:footnote>
  <w:footnote w:id="1">
    <w:p w:rsidR="00A37D1E" w:rsidRPr="000E0849" w:rsidRDefault="00A37D1E" w:rsidP="00A37D1E">
      <w:pPr>
        <w:pStyle w:val="a3"/>
        <w:spacing w:line="276" w:lineRule="auto"/>
        <w:rPr>
          <w:sz w:val="18"/>
        </w:rPr>
      </w:pPr>
      <w:r w:rsidRPr="000E0849">
        <w:rPr>
          <w:sz w:val="18"/>
        </w:rPr>
        <w:t xml:space="preserve">  </w:t>
      </w:r>
      <w:r w:rsidRPr="000E0849">
        <w:rPr>
          <w:rStyle w:val="a7"/>
          <w:rFonts w:eastAsiaTheme="majorEastAsia"/>
          <w:sz w:val="18"/>
          <w:szCs w:val="18"/>
        </w:rPr>
        <w:footnoteRef/>
      </w:r>
      <w:r w:rsidRPr="000E0849">
        <w:rPr>
          <w:rFonts w:hint="cs"/>
          <w:sz w:val="18"/>
          <w:rtl/>
        </w:rPr>
        <w:t xml:space="preserve">ראו למשל הקדמת המאירי למסכת, שמזכיר שהחלוקה היא מימי הגאונים, אך לעומת זאת ראו בפתיחה הכללית שלו לש"ס, שם הוא מתייחס לחלוקה כמאוחרת לגאונים. סיכום מקורות בענין זה ראו במבואו של ש"י פרידמן, תוספתא עתיקתא, רמת-גן תשס"ג, עמ' 12 הערה 5. </w:t>
      </w:r>
    </w:p>
  </w:footnote>
  <w:footnote w:id="2">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w:t>
      </w:r>
      <w:r w:rsidR="00B845E5">
        <w:rPr>
          <w:rFonts w:hint="cs"/>
          <w:sz w:val="18"/>
          <w:rtl/>
        </w:rPr>
        <w:t>משניות: פ"א</w:t>
      </w:r>
      <w:r w:rsidRPr="000E0849">
        <w:rPr>
          <w:rFonts w:hint="cs"/>
          <w:sz w:val="18"/>
          <w:rtl/>
        </w:rPr>
        <w:t xml:space="preserve">, א-ד; </w:t>
      </w:r>
      <w:r w:rsidR="00B845E5">
        <w:rPr>
          <w:rFonts w:hint="cs"/>
          <w:sz w:val="18"/>
          <w:rtl/>
        </w:rPr>
        <w:t>פ"ב, א-ג, ז-ח; פ"ג</w:t>
      </w:r>
      <w:r w:rsidRPr="000E0849">
        <w:rPr>
          <w:rFonts w:hint="cs"/>
          <w:sz w:val="18"/>
          <w:rtl/>
        </w:rPr>
        <w:t xml:space="preserve">, א-ב, ה-ז. </w:t>
      </w:r>
    </w:p>
  </w:footnote>
  <w:footnote w:id="3">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Pr="000E0849">
        <w:rPr>
          <w:rFonts w:hint="cs"/>
          <w:sz w:val="18"/>
          <w:rtl/>
        </w:rPr>
        <w:t xml:space="preserve"> משנה ו.</w:t>
      </w:r>
    </w:p>
  </w:footnote>
  <w:footnote w:id="4">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Pr="000E0849">
        <w:rPr>
          <w:rFonts w:hint="cs"/>
          <w:sz w:val="18"/>
          <w:rtl/>
        </w:rPr>
        <w:t xml:space="preserve"> משניות ו, ח.</w:t>
      </w:r>
    </w:p>
  </w:footnote>
  <w:footnote w:id="5">
    <w:p w:rsidR="00A37D1E" w:rsidRPr="000E0849" w:rsidRDefault="00A37D1E" w:rsidP="00A37D1E">
      <w:pPr>
        <w:pStyle w:val="a3"/>
        <w:spacing w:line="276" w:lineRule="auto"/>
        <w:rPr>
          <w:sz w:val="18"/>
          <w:rtl/>
        </w:rPr>
      </w:pPr>
      <w:r w:rsidRPr="000E0849">
        <w:rPr>
          <w:rStyle w:val="a7"/>
          <w:sz w:val="18"/>
          <w:szCs w:val="18"/>
        </w:rPr>
        <w:footnoteRef/>
      </w:r>
      <w:r w:rsidRPr="000E0849">
        <w:rPr>
          <w:sz w:val="18"/>
          <w:rtl/>
        </w:rPr>
        <w:t xml:space="preserve"> </w:t>
      </w:r>
      <w:r w:rsidRPr="000E0849">
        <w:rPr>
          <w:rFonts w:hint="cs"/>
          <w:sz w:val="18"/>
          <w:rtl/>
        </w:rPr>
        <w:t xml:space="preserve"> </w:t>
      </w:r>
      <w:r w:rsidR="00B845E5">
        <w:rPr>
          <w:rFonts w:hint="cs"/>
          <w:sz w:val="18"/>
          <w:rtl/>
        </w:rPr>
        <w:t>פ"א, ז; פ"ב, ז; פ"ג</w:t>
      </w:r>
      <w:r w:rsidRPr="000E0849">
        <w:rPr>
          <w:rFonts w:hint="cs"/>
          <w:sz w:val="18"/>
          <w:rtl/>
        </w:rPr>
        <w:t>, א.</w:t>
      </w:r>
    </w:p>
  </w:footnote>
  <w:footnote w:id="6">
    <w:p w:rsidR="00A37D1E" w:rsidRPr="000E0849" w:rsidRDefault="00A37D1E" w:rsidP="00A37D1E">
      <w:pPr>
        <w:pStyle w:val="a3"/>
        <w:spacing w:line="276" w:lineRule="auto"/>
        <w:rPr>
          <w:sz w:val="18"/>
          <w:rtl/>
        </w:rPr>
      </w:pPr>
      <w:r w:rsidRPr="000E0849">
        <w:rPr>
          <w:rStyle w:val="a7"/>
          <w:sz w:val="18"/>
          <w:szCs w:val="18"/>
        </w:rPr>
        <w:footnoteRef/>
      </w:r>
      <w:r w:rsidRPr="000E0849">
        <w:rPr>
          <w:sz w:val="18"/>
          <w:rtl/>
        </w:rPr>
        <w:t xml:space="preserve"> </w:t>
      </w:r>
      <w:r w:rsidRPr="000E0849">
        <w:rPr>
          <w:rFonts w:hint="cs"/>
          <w:sz w:val="18"/>
          <w:rtl/>
        </w:rPr>
        <w:t xml:space="preserve"> ב ע"א- ג ע"א.</w:t>
      </w:r>
    </w:p>
  </w:footnote>
  <w:footnote w:id="7">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Pr="000E0849">
        <w:rPr>
          <w:rFonts w:hint="cs"/>
          <w:sz w:val="18"/>
          <w:rtl/>
        </w:rPr>
        <w:t xml:space="preserve"> נ ע"א.</w:t>
      </w:r>
    </w:p>
  </w:footnote>
  <w:footnote w:id="8">
    <w:p w:rsidR="00A37D1E" w:rsidRPr="000E0849" w:rsidRDefault="00A37D1E" w:rsidP="00B845E5">
      <w:pPr>
        <w:pStyle w:val="a3"/>
        <w:spacing w:line="276" w:lineRule="auto"/>
        <w:rPr>
          <w:sz w:val="18"/>
          <w:rtl/>
        </w:rPr>
      </w:pPr>
      <w:r w:rsidRPr="000E0849">
        <w:rPr>
          <w:rStyle w:val="a7"/>
          <w:rFonts w:eastAsiaTheme="majorEastAsia"/>
          <w:sz w:val="18"/>
          <w:szCs w:val="18"/>
        </w:rPr>
        <w:footnoteRef/>
      </w:r>
      <w:r w:rsidRPr="000E0849">
        <w:rPr>
          <w:sz w:val="18"/>
        </w:rPr>
        <w:t xml:space="preserve"> </w:t>
      </w:r>
      <w:r w:rsidRPr="000E0849">
        <w:rPr>
          <w:rFonts w:hint="cs"/>
          <w:sz w:val="18"/>
          <w:rtl/>
        </w:rPr>
        <w:t xml:space="preserve">  ניתן למוצאה בארכיון בית המדרש הוירטואלי. כאשר תצטברנה די דוגמאות, </w:t>
      </w:r>
      <w:r w:rsidR="00B845E5">
        <w:rPr>
          <w:rFonts w:hint="cs"/>
          <w:sz w:val="18"/>
          <w:rtl/>
        </w:rPr>
        <w:t xml:space="preserve">יתכן שניתן יהיה </w:t>
      </w:r>
      <w:r w:rsidRPr="000E0849">
        <w:rPr>
          <w:rFonts w:hint="cs"/>
          <w:sz w:val="18"/>
          <w:rtl/>
        </w:rPr>
        <w:t>לראות בתופעה זו חלק אינטגרלי מדרכי העריכה של עורכי הבבלי, שהשתמשו ביחידות אגדיות כדי לסמן גבולות של יחידות תימאטיות, ובו בזמן להביע רעיונות והשקפות לגבי הדינים והדיונים המצויים בהם.</w:t>
      </w:r>
    </w:p>
  </w:footnote>
  <w:footnote w:id="9">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פרק א', ומשנה א' מפרק ב'. נראה שאף משנה ג בפרק ב שייכת לעניין הביעור: 'חמץ שנפלה עליו מפלת הרי הוא כמבער'.</w:t>
      </w:r>
    </w:p>
  </w:footnote>
  <w:footnote w:id="10">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00856A30">
        <w:rPr>
          <w:rFonts w:hint="cs"/>
          <w:sz w:val="18"/>
          <w:rtl/>
        </w:rPr>
        <w:t xml:space="preserve"> פ"</w:t>
      </w:r>
      <w:r w:rsidRPr="000E0849">
        <w:rPr>
          <w:rFonts w:hint="cs"/>
          <w:sz w:val="18"/>
          <w:rtl/>
        </w:rPr>
        <w:t>ג, ה-ז.</w:t>
      </w:r>
    </w:p>
  </w:footnote>
  <w:footnote w:id="11">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00856A30">
        <w:rPr>
          <w:rFonts w:hint="cs"/>
          <w:sz w:val="18"/>
          <w:rtl/>
        </w:rPr>
        <w:t xml:space="preserve"> פ"</w:t>
      </w:r>
      <w:r w:rsidRPr="000E0849">
        <w:rPr>
          <w:rFonts w:hint="cs"/>
          <w:sz w:val="18"/>
          <w:rtl/>
        </w:rPr>
        <w:t xml:space="preserve">ב </w:t>
      </w:r>
      <w:r w:rsidR="00856A30">
        <w:rPr>
          <w:rFonts w:hint="cs"/>
          <w:sz w:val="18"/>
          <w:rtl/>
        </w:rPr>
        <w:t>משניות ד-ה, ז; פ"</w:t>
      </w:r>
      <w:r w:rsidRPr="000E0849">
        <w:rPr>
          <w:rFonts w:hint="cs"/>
          <w:sz w:val="18"/>
          <w:rtl/>
        </w:rPr>
        <w:t>ג משניות א-ה.</w:t>
      </w:r>
    </w:p>
  </w:footnote>
  <w:footnote w:id="12">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משנה ו, שאיננה קשורה לדיני חמץ ועוסקת בשריפת בשר ושמן, הובאה כפי הנראה, כיחידה אחת עם משנה ז שעוסקת בשרפת חמץ.</w:t>
      </w:r>
    </w:p>
  </w:footnote>
  <w:footnote w:id="13">
    <w:p w:rsidR="00A37D1E" w:rsidRPr="000E0849" w:rsidRDefault="00A37D1E" w:rsidP="00A37D1E">
      <w:pPr>
        <w:pStyle w:val="a3"/>
        <w:spacing w:line="276" w:lineRule="auto"/>
        <w:rPr>
          <w:sz w:val="18"/>
          <w:rtl/>
        </w:rPr>
      </w:pPr>
      <w:r w:rsidRPr="000E0849">
        <w:rPr>
          <w:rStyle w:val="a7"/>
          <w:sz w:val="18"/>
          <w:szCs w:val="18"/>
        </w:rPr>
        <w:footnoteRef/>
      </w:r>
      <w:r w:rsidRPr="000E0849">
        <w:rPr>
          <w:sz w:val="18"/>
          <w:rtl/>
        </w:rPr>
        <w:t xml:space="preserve"> </w:t>
      </w:r>
      <w:r w:rsidRPr="000E0849">
        <w:rPr>
          <w:rFonts w:hint="cs"/>
          <w:sz w:val="18"/>
          <w:rtl/>
        </w:rPr>
        <w:t>אמנם כאן הסדר הפוך מזה של פרק א', אך ההקבלה ברורה.</w:t>
      </w:r>
    </w:p>
  </w:footnote>
  <w:footnote w:id="14">
    <w:p w:rsidR="00A37D1E" w:rsidRPr="000E0849" w:rsidRDefault="00A37D1E" w:rsidP="00071D0F">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אף כאן, המשנה העוסקת בשריפת בשר קודש אינ</w:t>
      </w:r>
      <w:r w:rsidR="00071D0F">
        <w:rPr>
          <w:rFonts w:hint="cs"/>
          <w:sz w:val="18"/>
          <w:rtl/>
        </w:rPr>
        <w:t xml:space="preserve">נה קשורה תוכניתי </w:t>
      </w:r>
      <w:r w:rsidRPr="000E0849">
        <w:rPr>
          <w:rFonts w:hint="cs"/>
          <w:sz w:val="18"/>
          <w:rtl/>
        </w:rPr>
        <w:t xml:space="preserve">לנושא הפרק, והובאה אגב המשנה העוסקת בביעור החמץ. נראה ששתי המשניות באו ממקור משותף, בשל סגנונן הדומה ואף בשל מחלוקת התנאים המופיעה בסוף משנה ח ומתייחסת לשתי המשניות. אמנם משנה ח מתקשרת גם להמשך המסכת, </w:t>
      </w:r>
      <w:r w:rsidR="00071D0F">
        <w:rPr>
          <w:rFonts w:hint="cs"/>
          <w:sz w:val="18"/>
          <w:rtl/>
        </w:rPr>
        <w:t>פ"ז מ"</w:t>
      </w:r>
      <w:r w:rsidRPr="000E0849">
        <w:rPr>
          <w:rFonts w:hint="cs"/>
          <w:sz w:val="18"/>
          <w:rtl/>
        </w:rPr>
        <w:t>ח, ע"ש.</w:t>
      </w:r>
    </w:p>
  </w:footnote>
  <w:footnote w:id="15">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'תרומה' נזכרת במסכת במקום אחד בלבד מ</w:t>
      </w:r>
      <w:r w:rsidR="00071D0F">
        <w:rPr>
          <w:rFonts w:hint="cs"/>
          <w:sz w:val="18"/>
          <w:rtl/>
        </w:rPr>
        <w:t>חוץ ליחידה הנ"ל (פ"ז</w:t>
      </w:r>
      <w:r w:rsidRPr="000E0849">
        <w:rPr>
          <w:rFonts w:hint="cs"/>
          <w:sz w:val="18"/>
          <w:rtl/>
        </w:rPr>
        <w:t xml:space="preserve"> </w:t>
      </w:r>
      <w:r w:rsidR="00071D0F">
        <w:rPr>
          <w:rFonts w:hint="cs"/>
          <w:sz w:val="18"/>
          <w:rtl/>
        </w:rPr>
        <w:t>מ"</w:t>
      </w:r>
      <w:r w:rsidRPr="000E0849">
        <w:rPr>
          <w:rFonts w:hint="cs"/>
          <w:sz w:val="18"/>
          <w:rtl/>
        </w:rPr>
        <w:t>ג), ואילו ו'חולין' נזכרים במסכת אך ורק בשתי המשניות המקבילות הנ"ל.</w:t>
      </w:r>
    </w:p>
  </w:footnote>
  <w:footnote w:id="16">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sz w:val="18"/>
        </w:rPr>
        <w:t xml:space="preserve"> </w:t>
      </w:r>
      <w:r w:rsidRPr="000E0849">
        <w:rPr>
          <w:rFonts w:hint="cs"/>
          <w:sz w:val="18"/>
          <w:rtl/>
        </w:rPr>
        <w:t xml:space="preserve"> </w:t>
      </w:r>
      <w:r w:rsidR="00071D0F">
        <w:rPr>
          <w:rFonts w:hint="cs"/>
          <w:sz w:val="18"/>
          <w:rtl/>
        </w:rPr>
        <w:t>שמופיע גם במכילתא דרשב"י, יב</w:t>
      </w:r>
      <w:r w:rsidRPr="000E0849">
        <w:rPr>
          <w:rFonts w:hint="cs"/>
          <w:sz w:val="18"/>
          <w:rtl/>
        </w:rPr>
        <w:t xml:space="preserve"> יז, מהד' אפשטיין-מלמד עמ' 22.</w:t>
      </w:r>
    </w:p>
  </w:footnote>
  <w:footnote w:id="17">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הניתוח והפרשנות שיובאו להלן לסוגיית הפתיחה למסכת, מבוססים בחלקם הגדול על דברים בע"פ ששמעתי מפי הרב ד"ר יהודה ברנדס. </w:t>
      </w:r>
    </w:p>
  </w:footnote>
  <w:footnote w:id="18">
    <w:p w:rsidR="00A37D1E" w:rsidRPr="000E0849" w:rsidRDefault="00A37D1E" w:rsidP="00A37D1E">
      <w:pPr>
        <w:pStyle w:val="a3"/>
        <w:spacing w:line="276" w:lineRule="auto"/>
        <w:rPr>
          <w:sz w:val="18"/>
        </w:rPr>
      </w:pPr>
      <w:r w:rsidRPr="000E0849">
        <w:rPr>
          <w:rStyle w:val="a7"/>
          <w:sz w:val="18"/>
          <w:szCs w:val="18"/>
        </w:rPr>
        <w:footnoteRef/>
      </w:r>
      <w:r w:rsidRPr="000E0849">
        <w:rPr>
          <w:sz w:val="18"/>
          <w:rtl/>
        </w:rPr>
        <w:t xml:space="preserve"> </w:t>
      </w:r>
      <w:r w:rsidRPr="000E0849">
        <w:rPr>
          <w:rFonts w:hint="cs"/>
          <w:sz w:val="18"/>
          <w:rtl/>
        </w:rPr>
        <w:t xml:space="preserve"> ד"ה 'בודקין אור ארבעה עשר'.</w:t>
      </w:r>
    </w:p>
  </w:footnote>
  <w:footnote w:id="19">
    <w:p w:rsidR="00A37D1E" w:rsidRPr="000E0849" w:rsidRDefault="00A37D1E" w:rsidP="00A37D1E">
      <w:pPr>
        <w:pStyle w:val="a3"/>
        <w:spacing w:line="276" w:lineRule="auto"/>
        <w:rPr>
          <w:sz w:val="18"/>
          <w:rtl/>
        </w:rPr>
      </w:pPr>
      <w:r w:rsidRPr="000E0849">
        <w:rPr>
          <w:rStyle w:val="a7"/>
          <w:sz w:val="18"/>
          <w:szCs w:val="18"/>
        </w:rPr>
        <w:footnoteRef/>
      </w:r>
      <w:r w:rsidRPr="000E0849">
        <w:rPr>
          <w:sz w:val="18"/>
          <w:rtl/>
        </w:rPr>
        <w:t xml:space="preserve"> </w:t>
      </w:r>
      <w:r w:rsidRPr="000E0849">
        <w:rPr>
          <w:rFonts w:hint="cs"/>
          <w:sz w:val="18"/>
          <w:rtl/>
        </w:rPr>
        <w:t xml:space="preserve"> ראו להלן הערה 21.</w:t>
      </w:r>
    </w:p>
  </w:footnote>
  <w:footnote w:id="20">
    <w:p w:rsidR="00A37D1E" w:rsidRPr="000E0849" w:rsidRDefault="00A37D1E" w:rsidP="00A37D1E">
      <w:pPr>
        <w:pStyle w:val="a3"/>
        <w:spacing w:line="276" w:lineRule="auto"/>
        <w:rPr>
          <w:sz w:val="18"/>
          <w:rtl/>
        </w:rPr>
      </w:pPr>
      <w:r w:rsidRPr="000E0849">
        <w:rPr>
          <w:rStyle w:val="a7"/>
          <w:sz w:val="18"/>
          <w:szCs w:val="18"/>
        </w:rPr>
        <w:footnoteRef/>
      </w:r>
      <w:r w:rsidRPr="000E0849">
        <w:rPr>
          <w:sz w:val="18"/>
          <w:rtl/>
        </w:rPr>
        <w:t xml:space="preserve"> </w:t>
      </w:r>
      <w:r w:rsidRPr="000E0849">
        <w:rPr>
          <w:rFonts w:hint="cs"/>
          <w:sz w:val="18"/>
          <w:rtl/>
        </w:rPr>
        <w:t xml:space="preserve"> ראו גם א"ש רוזנטל, 'כמה דוגמות בולטות לייחודה של מסורת-נוסח עתו', מסכת פסחים תלמוד בבלי: פאקסימיליא מכתב יד פרובינצה, לונדון תשמ"ה, עמ' 7-17, ובייחוד עמ' 12.</w:t>
      </w:r>
    </w:p>
  </w:footnote>
  <w:footnote w:id="21">
    <w:p w:rsidR="00ED0448" w:rsidRDefault="00ED0448">
      <w:pPr>
        <w:pStyle w:val="a3"/>
        <w:rPr>
          <w:rtl/>
        </w:rPr>
      </w:pPr>
      <w:r>
        <w:rPr>
          <w:rStyle w:val="a7"/>
        </w:rPr>
        <w:footnoteRef/>
      </w:r>
      <w:r>
        <w:rPr>
          <w:rtl/>
        </w:rPr>
        <w:t xml:space="preserve"> </w:t>
      </w:r>
      <w:r w:rsidRPr="000E0849">
        <w:rPr>
          <w:rFonts w:hint="cs"/>
          <w:sz w:val="18"/>
          <w:rtl/>
        </w:rPr>
        <w:t xml:space="preserve">אמנם נחלקו החוקרים על איזה חלק של הלילה מדובר. לפי מ' סוקולוף במילונו לארמית בבלית (ערך 'נגה', עמ' 728-729) מדובר בסוף הלילה, החלק שקודם לעלות השחר. ואילו אפשטיין (י"נ אפשטיין, מבואות לספרות האמוראים, ירושלים תשכ"ב, עמ' 150-151) כותב שהמלה 'נגה' מציינת את 'התחלת היום לרבות התחלתו מהלילה שקדם לו', וממילא הוא מפרש שהמחלוקת בסוגייתנו היא האם בודקים את החמץ בתחילת הלילה או בלילה. (וראו גם ד' הרמן, 'לתולדותיה של בדיקת חמץ לאור הנר', סיני ק"ו (תש"ן) עמ' נג-נד, ובמקורות המצויינים שם בהערות השוליים). בעניין זה ראו גם את הערתו של א"ש, רוזנטל (לעיל, הערה 12) עמ' 15-16. ונחלקו בזה כבר הראשונים בהסברם למחלוקת. רש"י, ב' ע"א ד"ה הכי גרסינן, מפרש את נגהי כסוף הלילה, כשיאיר השחר, </w:t>
      </w:r>
      <w:r w:rsidRPr="00ED0448">
        <w:rPr>
          <w:rFonts w:hint="cs"/>
          <w:sz w:val="18"/>
          <w:rtl/>
        </w:rPr>
        <w:t xml:space="preserve">וממילא </w:t>
      </w:r>
      <w:r w:rsidRPr="00ED0448">
        <w:rPr>
          <w:rStyle w:val="ab"/>
          <w:rFonts w:hint="cs"/>
          <w:sz w:val="18"/>
          <w:szCs w:val="18"/>
          <w:rtl/>
        </w:rPr>
        <w:t>המחלוקת היא אם בודקים בחלקו הראשון של הלילה או בסופו. לעומתו,</w:t>
      </w:r>
      <w:r w:rsidRPr="00ED0448">
        <w:rPr>
          <w:rFonts w:hint="cs"/>
          <w:sz w:val="18"/>
          <w:rtl/>
        </w:rPr>
        <w:t xml:space="preserve"> הראב</w:t>
      </w:r>
      <w:r w:rsidRPr="000E0849">
        <w:rPr>
          <w:rFonts w:hint="cs"/>
          <w:sz w:val="18"/>
          <w:rtl/>
        </w:rPr>
        <w:t>"ד (א' ע"א בדפי הרי"ף, בהשגתו על בעל המאור) מפרש שלדעת רב הונא בודקים קודם לתחילת הלילה, בזמן שיש עוד אור.</w:t>
      </w:r>
    </w:p>
  </w:footnote>
  <w:footnote w:id="22">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Pr="000E0849">
        <w:rPr>
          <w:rFonts w:hint="cs"/>
          <w:sz w:val="18"/>
          <w:rtl/>
        </w:rPr>
        <w:t xml:space="preserve"> </w:t>
      </w:r>
      <w:r>
        <w:rPr>
          <w:rFonts w:hint="cs"/>
          <w:sz w:val="18"/>
          <w:rtl/>
        </w:rPr>
        <w:t xml:space="preserve"> </w:t>
      </w:r>
      <w:r w:rsidRPr="000E0849">
        <w:rPr>
          <w:rFonts w:hint="cs"/>
          <w:sz w:val="18"/>
          <w:rtl/>
        </w:rPr>
        <w:t>שם, עמ' 1</w:t>
      </w:r>
      <w:r w:rsidR="003C70E8">
        <w:rPr>
          <w:rFonts w:hint="cs"/>
          <w:sz w:val="18"/>
          <w:rtl/>
        </w:rPr>
        <w:t>2. וראו השערתו של רוזנטל שם לגבי</w:t>
      </w:r>
      <w:r w:rsidRPr="000E0849">
        <w:rPr>
          <w:rFonts w:hint="cs"/>
          <w:sz w:val="18"/>
          <w:rtl/>
        </w:rPr>
        <w:t xml:space="preserve"> שלבי יצירת הסוגיא והמניעים ליצירת ה'עיבוד הספרותי'. במאמר הנוכחי מוצע הסבר אחר למניעים אלה, הסבר שמייחס לסוגיא זו אמירה רעיונית בהקשר לחג הפסח. </w:t>
      </w:r>
    </w:p>
  </w:footnote>
  <w:footnote w:id="23">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003C70E8">
        <w:rPr>
          <w:rFonts w:hint="cs"/>
          <w:sz w:val="18"/>
          <w:rtl/>
        </w:rPr>
        <w:t xml:space="preserve"> </w:t>
      </w:r>
      <w:r w:rsidRPr="000E0849">
        <w:rPr>
          <w:rFonts w:hint="cs"/>
          <w:sz w:val="18"/>
          <w:rtl/>
        </w:rPr>
        <w:t xml:space="preserve">כפי שמראה רוזנטל, שם, עמ' 8-11. וראו בית יעקב על התורה </w:t>
      </w:r>
      <w:r w:rsidRPr="000E0849">
        <w:rPr>
          <w:sz w:val="18"/>
          <w:rtl/>
        </w:rPr>
        <w:t>–</w:t>
      </w:r>
      <w:r w:rsidRPr="000E0849">
        <w:rPr>
          <w:rFonts w:hint="cs"/>
          <w:sz w:val="18"/>
          <w:rtl/>
        </w:rPr>
        <w:t xml:space="preserve"> ספר הזמנים, ירושלים תשנ"ז, עמ' 152-153, שהקדים את רוזנטל בהבחנה זו.</w:t>
      </w:r>
    </w:p>
  </w:footnote>
  <w:footnote w:id="24">
    <w:p w:rsidR="00A37D1E" w:rsidRPr="000E0849" w:rsidRDefault="00A37D1E" w:rsidP="00A37D1E">
      <w:pPr>
        <w:pStyle w:val="a3"/>
        <w:spacing w:line="276" w:lineRule="auto"/>
        <w:rPr>
          <w:sz w:val="18"/>
        </w:rPr>
      </w:pPr>
      <w:r w:rsidRPr="000E0849">
        <w:rPr>
          <w:rStyle w:val="a7"/>
          <w:rFonts w:eastAsiaTheme="majorEastAsia"/>
          <w:sz w:val="18"/>
          <w:szCs w:val="18"/>
        </w:rPr>
        <w:footnoteRef/>
      </w:r>
      <w:r w:rsidR="003C70E8">
        <w:rPr>
          <w:rFonts w:hint="cs"/>
          <w:sz w:val="18"/>
          <w:rtl/>
        </w:rPr>
        <w:t xml:space="preserve"> </w:t>
      </w:r>
      <w:r w:rsidRPr="000E0849">
        <w:rPr>
          <w:rFonts w:hint="cs"/>
          <w:sz w:val="18"/>
          <w:rtl/>
        </w:rPr>
        <w:t>אמנם לפנינו בדפוס וילנא מופיעות שמונה ראיות בחלק התנאי. ברם, רוזנטל, שם, עמ' 12-13 קובע על סמך עיון בכתבי היד שהראיה של מר זוטרא היא חיצונית ואינה מן החשבון. אמנם, נראה שה'בית יעקב' שלא נזקק כלל לשאלה זו לא ספר את הראיה האחרונה, החמש עשרה, שהיא ראיה ישירה ומכרעת, שכן היא מקבילה מפורשת למשנתנו ובה שמשתמשת במילה 'לילי' במקום 'אור', כפי שמציינים ר' דוד בונפיד ומהר"ם חלאווה בפירושיהם על אתר.</w:t>
      </w:r>
    </w:p>
  </w:footnote>
  <w:footnote w:id="25">
    <w:p w:rsidR="00A37D1E" w:rsidRPr="000E0849" w:rsidRDefault="00A37D1E" w:rsidP="00A37D1E">
      <w:pPr>
        <w:pStyle w:val="a3"/>
        <w:spacing w:line="276" w:lineRule="auto"/>
        <w:rPr>
          <w:b/>
          <w:bCs/>
          <w:sz w:val="18"/>
          <w:rtl/>
        </w:rPr>
      </w:pPr>
      <w:r w:rsidRPr="000E0849">
        <w:rPr>
          <w:rStyle w:val="a7"/>
          <w:rFonts w:eastAsiaTheme="majorEastAsia"/>
          <w:sz w:val="18"/>
          <w:szCs w:val="18"/>
        </w:rPr>
        <w:footnoteRef/>
      </w:r>
      <w:r w:rsidRPr="000E0849">
        <w:rPr>
          <w:rFonts w:hint="cs"/>
          <w:sz w:val="18"/>
          <w:rtl/>
        </w:rPr>
        <w:t xml:space="preserve"> והשוו י' פרנקל, דרכי האגדה והמדרש, גבעתיים תשנ"א, עמ' 217, והערה 113 שם.</w:t>
      </w:r>
    </w:p>
  </w:footnote>
  <w:footnote w:id="26">
    <w:p w:rsidR="00A37D1E" w:rsidRPr="000E0849" w:rsidRDefault="00A37D1E" w:rsidP="00A37D1E">
      <w:pPr>
        <w:pStyle w:val="a3"/>
        <w:spacing w:line="276" w:lineRule="auto"/>
        <w:rPr>
          <w:sz w:val="18"/>
        </w:rPr>
      </w:pPr>
      <w:r w:rsidRPr="000E0849">
        <w:rPr>
          <w:rStyle w:val="a7"/>
          <w:rFonts w:eastAsiaTheme="majorEastAsia"/>
          <w:sz w:val="18"/>
          <w:szCs w:val="18"/>
        </w:rPr>
        <w:footnoteRef/>
      </w:r>
      <w:r w:rsidRPr="000E0849">
        <w:rPr>
          <w:rFonts w:hint="cs"/>
          <w:sz w:val="18"/>
          <w:rtl/>
        </w:rPr>
        <w:t xml:space="preserve"> ניתן וצריך גם לדון באריכות בכל אחת מראיות הגמרא ותרומתה לפיתוח רעיון האור והחושך, ברם אף דיון זה אין לו מקום כאן.</w:t>
      </w:r>
    </w:p>
  </w:footnote>
  <w:footnote w:id="27">
    <w:p w:rsidR="00A37D1E" w:rsidRPr="000E0849" w:rsidRDefault="00A37D1E" w:rsidP="00A37D1E">
      <w:pPr>
        <w:pStyle w:val="a3"/>
        <w:spacing w:line="276" w:lineRule="auto"/>
        <w:rPr>
          <w:sz w:val="18"/>
          <w:rtl/>
        </w:rPr>
      </w:pPr>
      <w:r w:rsidRPr="000E0849">
        <w:rPr>
          <w:rStyle w:val="a7"/>
          <w:rFonts w:eastAsiaTheme="majorEastAsia"/>
          <w:sz w:val="18"/>
          <w:szCs w:val="18"/>
        </w:rPr>
        <w:footnoteRef/>
      </w:r>
      <w:r w:rsidR="00FF14F1">
        <w:rPr>
          <w:rFonts w:hint="cs"/>
          <w:sz w:val="18"/>
          <w:rtl/>
        </w:rPr>
        <w:t xml:space="preserve"> </w:t>
      </w:r>
      <w:r w:rsidRPr="000E0849">
        <w:rPr>
          <w:rFonts w:hint="cs"/>
          <w:sz w:val="18"/>
          <w:rtl/>
        </w:rPr>
        <w:t>ניתן להביא מקורות נוספים מחז"ל המצביעים על הקשר הנ"ל,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1E" w:rsidRDefault="00A37D1E"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684C5B">
      <w:rPr>
        <w:noProof/>
        <w:rtl/>
      </w:rPr>
      <w:t>6</w:t>
    </w:r>
    <w:r>
      <w:rPr>
        <w:rtl/>
      </w:rPr>
      <w:fldChar w:fldCharType="end"/>
    </w:r>
    <w:r>
      <w:rPr>
        <w:rtl/>
      </w:rPr>
      <w:t xml:space="preserve"> -</w:t>
    </w:r>
  </w:p>
  <w:p w:rsidR="00A37D1E" w:rsidRDefault="00A37D1E"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37D1E">
      <w:tc>
        <w:tcPr>
          <w:tcW w:w="4927" w:type="dxa"/>
          <w:tcBorders>
            <w:top w:val="nil"/>
            <w:left w:val="nil"/>
            <w:bottom w:val="double" w:sz="4" w:space="0" w:color="auto"/>
            <w:right w:val="nil"/>
          </w:tcBorders>
        </w:tcPr>
        <w:p w:rsidR="00A37D1E" w:rsidRDefault="00A37D1E" w:rsidP="00023123">
          <w:pPr>
            <w:pStyle w:val="a8"/>
            <w:spacing w:line="280" w:lineRule="exact"/>
            <w:rPr>
              <w:rtl/>
            </w:rPr>
          </w:pPr>
          <w:r>
            <w:rPr>
              <w:rtl/>
            </w:rPr>
            <w:t>בית המדרש הוירטואלי (</w:t>
          </w:r>
          <w:r>
            <w:t>V.B.M</w:t>
          </w:r>
          <w:r>
            <w:rPr>
              <w:rtl/>
            </w:rPr>
            <w:t>) שליד ישיבת הר עציון</w:t>
          </w:r>
        </w:p>
        <w:p w:rsidR="00A37D1E" w:rsidRDefault="00A37D1E" w:rsidP="00023123">
          <w:pPr>
            <w:pStyle w:val="a8"/>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A37D1E" w:rsidRPr="00023123" w:rsidRDefault="00A37D1E" w:rsidP="00023123">
          <w:pPr>
            <w:pStyle w:val="a8"/>
            <w:bidi w:val="0"/>
            <w:rPr>
              <w:sz w:val="34"/>
              <w:szCs w:val="36"/>
            </w:rPr>
          </w:pPr>
          <w:r w:rsidRPr="00023123">
            <w:rPr>
              <w:sz w:val="34"/>
              <w:szCs w:val="36"/>
            </w:rPr>
            <w:t>www.etzion.org.il/vbm</w:t>
          </w:r>
        </w:p>
      </w:tc>
    </w:tr>
  </w:tbl>
  <w:p w:rsidR="00A37D1E" w:rsidRDefault="00A37D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4.25pt;height:14.25pt" o:bullet="t">
        <v:imagedata r:id="rId1" o:title=""/>
        <o:lock v:ext="edit" cropping="t"/>
      </v:shape>
    </w:pict>
  </w:numPicBullet>
  <w:numPicBullet w:numPicBulletId="1">
    <w:pict>
      <v:shape id="_x0000_i1197" type="#_x0000_t75" style="width:6.75pt;height:6.75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19"/>
  </w:num>
  <w:num w:numId="9">
    <w:abstractNumId w:val="16"/>
  </w:num>
  <w:num w:numId="10">
    <w:abstractNumId w:val="15"/>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621"/>
    <w:rsid w:val="00004451"/>
    <w:rsid w:val="000054A6"/>
    <w:rsid w:val="00005810"/>
    <w:rsid w:val="00005FF9"/>
    <w:rsid w:val="0000691E"/>
    <w:rsid w:val="00006CEB"/>
    <w:rsid w:val="00015AA2"/>
    <w:rsid w:val="0001656B"/>
    <w:rsid w:val="00017330"/>
    <w:rsid w:val="00023123"/>
    <w:rsid w:val="000246E2"/>
    <w:rsid w:val="00027EFA"/>
    <w:rsid w:val="00032D1C"/>
    <w:rsid w:val="00034492"/>
    <w:rsid w:val="00034F87"/>
    <w:rsid w:val="00035A9A"/>
    <w:rsid w:val="000366E2"/>
    <w:rsid w:val="000367D2"/>
    <w:rsid w:val="00043A91"/>
    <w:rsid w:val="00045116"/>
    <w:rsid w:val="00046EEA"/>
    <w:rsid w:val="000474F1"/>
    <w:rsid w:val="000507F2"/>
    <w:rsid w:val="00052C2A"/>
    <w:rsid w:val="00053036"/>
    <w:rsid w:val="00057B64"/>
    <w:rsid w:val="000608B8"/>
    <w:rsid w:val="0006196E"/>
    <w:rsid w:val="00063F9D"/>
    <w:rsid w:val="0006503C"/>
    <w:rsid w:val="00065363"/>
    <w:rsid w:val="00071D0F"/>
    <w:rsid w:val="000773F0"/>
    <w:rsid w:val="0008104D"/>
    <w:rsid w:val="0008452A"/>
    <w:rsid w:val="00097B63"/>
    <w:rsid w:val="00097F41"/>
    <w:rsid w:val="000A25B0"/>
    <w:rsid w:val="000A55A1"/>
    <w:rsid w:val="000A7BD8"/>
    <w:rsid w:val="000B4AD4"/>
    <w:rsid w:val="000B79E4"/>
    <w:rsid w:val="000C0A52"/>
    <w:rsid w:val="000C21E4"/>
    <w:rsid w:val="000C4FB4"/>
    <w:rsid w:val="000D1837"/>
    <w:rsid w:val="000D2128"/>
    <w:rsid w:val="000D4C2E"/>
    <w:rsid w:val="000D4E46"/>
    <w:rsid w:val="000D5220"/>
    <w:rsid w:val="000D727F"/>
    <w:rsid w:val="000E0849"/>
    <w:rsid w:val="000E1A02"/>
    <w:rsid w:val="000E35D6"/>
    <w:rsid w:val="000E35DF"/>
    <w:rsid w:val="000E4EAE"/>
    <w:rsid w:val="000F0DA1"/>
    <w:rsid w:val="000F15E8"/>
    <w:rsid w:val="000F280A"/>
    <w:rsid w:val="000F4197"/>
    <w:rsid w:val="000F74D6"/>
    <w:rsid w:val="00100668"/>
    <w:rsid w:val="00103DF1"/>
    <w:rsid w:val="00106912"/>
    <w:rsid w:val="00106E98"/>
    <w:rsid w:val="001072C6"/>
    <w:rsid w:val="00107950"/>
    <w:rsid w:val="001171B6"/>
    <w:rsid w:val="00120191"/>
    <w:rsid w:val="00120277"/>
    <w:rsid w:val="00121DE1"/>
    <w:rsid w:val="00121F9B"/>
    <w:rsid w:val="00131455"/>
    <w:rsid w:val="00136003"/>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1BD4"/>
    <w:rsid w:val="00196696"/>
    <w:rsid w:val="001974C1"/>
    <w:rsid w:val="001A2991"/>
    <w:rsid w:val="001A2DB0"/>
    <w:rsid w:val="001A4650"/>
    <w:rsid w:val="001A568A"/>
    <w:rsid w:val="001A7DF9"/>
    <w:rsid w:val="001A7F13"/>
    <w:rsid w:val="001B64F0"/>
    <w:rsid w:val="001B7652"/>
    <w:rsid w:val="001C1C77"/>
    <w:rsid w:val="001C1F4E"/>
    <w:rsid w:val="001C54A7"/>
    <w:rsid w:val="001C5DEE"/>
    <w:rsid w:val="001C6CBB"/>
    <w:rsid w:val="001D0B69"/>
    <w:rsid w:val="001E0949"/>
    <w:rsid w:val="001E1C36"/>
    <w:rsid w:val="001E66AC"/>
    <w:rsid w:val="001E7402"/>
    <w:rsid w:val="001F09A9"/>
    <w:rsid w:val="001F1F98"/>
    <w:rsid w:val="001F434A"/>
    <w:rsid w:val="001F4B9D"/>
    <w:rsid w:val="001F56EE"/>
    <w:rsid w:val="001F6F42"/>
    <w:rsid w:val="00203D07"/>
    <w:rsid w:val="00203EAA"/>
    <w:rsid w:val="0020437E"/>
    <w:rsid w:val="00205CA5"/>
    <w:rsid w:val="0020729D"/>
    <w:rsid w:val="00207415"/>
    <w:rsid w:val="0021196C"/>
    <w:rsid w:val="00214238"/>
    <w:rsid w:val="00215AA7"/>
    <w:rsid w:val="0021651A"/>
    <w:rsid w:val="00217509"/>
    <w:rsid w:val="00217613"/>
    <w:rsid w:val="00217622"/>
    <w:rsid w:val="002177D3"/>
    <w:rsid w:val="00221760"/>
    <w:rsid w:val="00221AE0"/>
    <w:rsid w:val="00223AE8"/>
    <w:rsid w:val="00224073"/>
    <w:rsid w:val="002252B1"/>
    <w:rsid w:val="002266CE"/>
    <w:rsid w:val="00232618"/>
    <w:rsid w:val="0023368B"/>
    <w:rsid w:val="00233BA6"/>
    <w:rsid w:val="00237BBC"/>
    <w:rsid w:val="00241382"/>
    <w:rsid w:val="00241740"/>
    <w:rsid w:val="00245DD3"/>
    <w:rsid w:val="00246038"/>
    <w:rsid w:val="0024603C"/>
    <w:rsid w:val="002468A8"/>
    <w:rsid w:val="00247C2C"/>
    <w:rsid w:val="00255DA9"/>
    <w:rsid w:val="00256752"/>
    <w:rsid w:val="00257983"/>
    <w:rsid w:val="002665B3"/>
    <w:rsid w:val="0026732D"/>
    <w:rsid w:val="00270B68"/>
    <w:rsid w:val="00272FAA"/>
    <w:rsid w:val="00273E39"/>
    <w:rsid w:val="00273E91"/>
    <w:rsid w:val="00274720"/>
    <w:rsid w:val="00276AFA"/>
    <w:rsid w:val="002775A3"/>
    <w:rsid w:val="002777F9"/>
    <w:rsid w:val="00281554"/>
    <w:rsid w:val="002837D5"/>
    <w:rsid w:val="00285246"/>
    <w:rsid w:val="00285DB2"/>
    <w:rsid w:val="00287110"/>
    <w:rsid w:val="0028735E"/>
    <w:rsid w:val="0028773B"/>
    <w:rsid w:val="00291E5B"/>
    <w:rsid w:val="00293675"/>
    <w:rsid w:val="0029556E"/>
    <w:rsid w:val="002965EB"/>
    <w:rsid w:val="0029767C"/>
    <w:rsid w:val="00297D1D"/>
    <w:rsid w:val="002A0B37"/>
    <w:rsid w:val="002A1640"/>
    <w:rsid w:val="002A1DD6"/>
    <w:rsid w:val="002A2354"/>
    <w:rsid w:val="002A4889"/>
    <w:rsid w:val="002A7953"/>
    <w:rsid w:val="002B3C87"/>
    <w:rsid w:val="002B4262"/>
    <w:rsid w:val="002B731C"/>
    <w:rsid w:val="002B7516"/>
    <w:rsid w:val="002B7C6C"/>
    <w:rsid w:val="002C257A"/>
    <w:rsid w:val="002C749C"/>
    <w:rsid w:val="002D11CA"/>
    <w:rsid w:val="002D1582"/>
    <w:rsid w:val="002D191C"/>
    <w:rsid w:val="002D24B0"/>
    <w:rsid w:val="002D283D"/>
    <w:rsid w:val="002E0D1A"/>
    <w:rsid w:val="002E0FAD"/>
    <w:rsid w:val="002E46F7"/>
    <w:rsid w:val="002E53AE"/>
    <w:rsid w:val="002E55CF"/>
    <w:rsid w:val="002E5B9C"/>
    <w:rsid w:val="002F4ABC"/>
    <w:rsid w:val="002F5738"/>
    <w:rsid w:val="002F675E"/>
    <w:rsid w:val="00300AF3"/>
    <w:rsid w:val="00303B13"/>
    <w:rsid w:val="00304FDC"/>
    <w:rsid w:val="0030719B"/>
    <w:rsid w:val="00307C38"/>
    <w:rsid w:val="00310087"/>
    <w:rsid w:val="00313284"/>
    <w:rsid w:val="00316531"/>
    <w:rsid w:val="00321E81"/>
    <w:rsid w:val="003253A2"/>
    <w:rsid w:val="00327989"/>
    <w:rsid w:val="00330159"/>
    <w:rsid w:val="00331327"/>
    <w:rsid w:val="003315F6"/>
    <w:rsid w:val="00332026"/>
    <w:rsid w:val="00332B7F"/>
    <w:rsid w:val="00333DD3"/>
    <w:rsid w:val="0033620E"/>
    <w:rsid w:val="00340095"/>
    <w:rsid w:val="00342616"/>
    <w:rsid w:val="00354A38"/>
    <w:rsid w:val="00354C84"/>
    <w:rsid w:val="00355A48"/>
    <w:rsid w:val="00355C61"/>
    <w:rsid w:val="003566CF"/>
    <w:rsid w:val="00356938"/>
    <w:rsid w:val="00357A70"/>
    <w:rsid w:val="00360055"/>
    <w:rsid w:val="0036156C"/>
    <w:rsid w:val="00361E65"/>
    <w:rsid w:val="00363409"/>
    <w:rsid w:val="003721BA"/>
    <w:rsid w:val="003725B8"/>
    <w:rsid w:val="003762FE"/>
    <w:rsid w:val="00380CA7"/>
    <w:rsid w:val="0038295B"/>
    <w:rsid w:val="00382B4E"/>
    <w:rsid w:val="003848A2"/>
    <w:rsid w:val="0038751C"/>
    <w:rsid w:val="00387C77"/>
    <w:rsid w:val="00390769"/>
    <w:rsid w:val="00390CA0"/>
    <w:rsid w:val="00391519"/>
    <w:rsid w:val="00393080"/>
    <w:rsid w:val="003944C6"/>
    <w:rsid w:val="003946BB"/>
    <w:rsid w:val="003A05AA"/>
    <w:rsid w:val="003A093C"/>
    <w:rsid w:val="003A0DC2"/>
    <w:rsid w:val="003A0FB4"/>
    <w:rsid w:val="003A28F3"/>
    <w:rsid w:val="003A4F6E"/>
    <w:rsid w:val="003A6E6F"/>
    <w:rsid w:val="003B268D"/>
    <w:rsid w:val="003B37AF"/>
    <w:rsid w:val="003B3E68"/>
    <w:rsid w:val="003B54B5"/>
    <w:rsid w:val="003B5D2D"/>
    <w:rsid w:val="003B6181"/>
    <w:rsid w:val="003B6E4D"/>
    <w:rsid w:val="003C1CF1"/>
    <w:rsid w:val="003C36D1"/>
    <w:rsid w:val="003C3EC6"/>
    <w:rsid w:val="003C414E"/>
    <w:rsid w:val="003C56CD"/>
    <w:rsid w:val="003C60E3"/>
    <w:rsid w:val="003C6E02"/>
    <w:rsid w:val="003C70E8"/>
    <w:rsid w:val="003D00D7"/>
    <w:rsid w:val="003D13A0"/>
    <w:rsid w:val="003D3D5C"/>
    <w:rsid w:val="003E4948"/>
    <w:rsid w:val="003E71F5"/>
    <w:rsid w:val="003F39B0"/>
    <w:rsid w:val="003F7917"/>
    <w:rsid w:val="004018E2"/>
    <w:rsid w:val="00403A21"/>
    <w:rsid w:val="00404CC5"/>
    <w:rsid w:val="00406A4A"/>
    <w:rsid w:val="004100C7"/>
    <w:rsid w:val="004102A9"/>
    <w:rsid w:val="004127AC"/>
    <w:rsid w:val="004176E4"/>
    <w:rsid w:val="00422D79"/>
    <w:rsid w:val="00422DC9"/>
    <w:rsid w:val="00423C00"/>
    <w:rsid w:val="00426569"/>
    <w:rsid w:val="00430315"/>
    <w:rsid w:val="00433243"/>
    <w:rsid w:val="004345E5"/>
    <w:rsid w:val="004372E5"/>
    <w:rsid w:val="00437565"/>
    <w:rsid w:val="00440629"/>
    <w:rsid w:val="00441567"/>
    <w:rsid w:val="00441F17"/>
    <w:rsid w:val="00442867"/>
    <w:rsid w:val="00446D10"/>
    <w:rsid w:val="0045014D"/>
    <w:rsid w:val="0045100D"/>
    <w:rsid w:val="00452921"/>
    <w:rsid w:val="004536EE"/>
    <w:rsid w:val="00455042"/>
    <w:rsid w:val="00456F09"/>
    <w:rsid w:val="0045751B"/>
    <w:rsid w:val="004576D6"/>
    <w:rsid w:val="00460FDF"/>
    <w:rsid w:val="004616ED"/>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5D71"/>
    <w:rsid w:val="004A65D9"/>
    <w:rsid w:val="004A7569"/>
    <w:rsid w:val="004B5012"/>
    <w:rsid w:val="004B71AE"/>
    <w:rsid w:val="004B766D"/>
    <w:rsid w:val="004B7C02"/>
    <w:rsid w:val="004C0C5C"/>
    <w:rsid w:val="004C32B7"/>
    <w:rsid w:val="004C6246"/>
    <w:rsid w:val="004C6A7C"/>
    <w:rsid w:val="004D0382"/>
    <w:rsid w:val="004D088E"/>
    <w:rsid w:val="004D232B"/>
    <w:rsid w:val="004D43EF"/>
    <w:rsid w:val="004D5A93"/>
    <w:rsid w:val="004D66F8"/>
    <w:rsid w:val="004E091F"/>
    <w:rsid w:val="004E122A"/>
    <w:rsid w:val="004F171A"/>
    <w:rsid w:val="004F24EC"/>
    <w:rsid w:val="004F47D9"/>
    <w:rsid w:val="004F4EDB"/>
    <w:rsid w:val="004F7C01"/>
    <w:rsid w:val="00500F70"/>
    <w:rsid w:val="005012B2"/>
    <w:rsid w:val="005026B4"/>
    <w:rsid w:val="00505B95"/>
    <w:rsid w:val="00511B60"/>
    <w:rsid w:val="00511E90"/>
    <w:rsid w:val="0051476C"/>
    <w:rsid w:val="00515C9B"/>
    <w:rsid w:val="00516193"/>
    <w:rsid w:val="00516B86"/>
    <w:rsid w:val="005178B7"/>
    <w:rsid w:val="00517DF5"/>
    <w:rsid w:val="00517F11"/>
    <w:rsid w:val="00523CE4"/>
    <w:rsid w:val="00523CF4"/>
    <w:rsid w:val="00524DA5"/>
    <w:rsid w:val="00526D9D"/>
    <w:rsid w:val="00532236"/>
    <w:rsid w:val="00534E8A"/>
    <w:rsid w:val="0054043A"/>
    <w:rsid w:val="0054539F"/>
    <w:rsid w:val="00553982"/>
    <w:rsid w:val="00563B1B"/>
    <w:rsid w:val="00564012"/>
    <w:rsid w:val="005643F3"/>
    <w:rsid w:val="00565821"/>
    <w:rsid w:val="00565CAC"/>
    <w:rsid w:val="00566372"/>
    <w:rsid w:val="0057067C"/>
    <w:rsid w:val="00570BB6"/>
    <w:rsid w:val="005729D0"/>
    <w:rsid w:val="005734F1"/>
    <w:rsid w:val="005739BD"/>
    <w:rsid w:val="005768AF"/>
    <w:rsid w:val="00576A50"/>
    <w:rsid w:val="005822D5"/>
    <w:rsid w:val="0058287F"/>
    <w:rsid w:val="00584F87"/>
    <w:rsid w:val="005858D9"/>
    <w:rsid w:val="00586297"/>
    <w:rsid w:val="0058630B"/>
    <w:rsid w:val="005919B0"/>
    <w:rsid w:val="00592BD6"/>
    <w:rsid w:val="005A0AC4"/>
    <w:rsid w:val="005A0AD4"/>
    <w:rsid w:val="005A1657"/>
    <w:rsid w:val="005A1D73"/>
    <w:rsid w:val="005A54D8"/>
    <w:rsid w:val="005A6F6D"/>
    <w:rsid w:val="005A771F"/>
    <w:rsid w:val="005B0568"/>
    <w:rsid w:val="005B0D5D"/>
    <w:rsid w:val="005B4AE8"/>
    <w:rsid w:val="005B567C"/>
    <w:rsid w:val="005B6B6A"/>
    <w:rsid w:val="005B7DBB"/>
    <w:rsid w:val="005C00F0"/>
    <w:rsid w:val="005C12EB"/>
    <w:rsid w:val="005C26E1"/>
    <w:rsid w:val="005C3DFB"/>
    <w:rsid w:val="005C486E"/>
    <w:rsid w:val="005C5E35"/>
    <w:rsid w:val="005C71DB"/>
    <w:rsid w:val="005C7520"/>
    <w:rsid w:val="005D12F6"/>
    <w:rsid w:val="005D4493"/>
    <w:rsid w:val="005D4841"/>
    <w:rsid w:val="005D5344"/>
    <w:rsid w:val="005D78E0"/>
    <w:rsid w:val="005E03E5"/>
    <w:rsid w:val="005E64EB"/>
    <w:rsid w:val="005F255E"/>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2412"/>
    <w:rsid w:val="00634DC1"/>
    <w:rsid w:val="006371B3"/>
    <w:rsid w:val="00643F4B"/>
    <w:rsid w:val="00644C62"/>
    <w:rsid w:val="00646879"/>
    <w:rsid w:val="00647757"/>
    <w:rsid w:val="00651C08"/>
    <w:rsid w:val="00652773"/>
    <w:rsid w:val="00653243"/>
    <w:rsid w:val="006547C2"/>
    <w:rsid w:val="0065588F"/>
    <w:rsid w:val="00657029"/>
    <w:rsid w:val="00660794"/>
    <w:rsid w:val="006618C3"/>
    <w:rsid w:val="00661909"/>
    <w:rsid w:val="006635C1"/>
    <w:rsid w:val="00666DB6"/>
    <w:rsid w:val="0067633B"/>
    <w:rsid w:val="006778CA"/>
    <w:rsid w:val="00684C5B"/>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E33"/>
    <w:rsid w:val="006C2957"/>
    <w:rsid w:val="006C2FFB"/>
    <w:rsid w:val="006C34EB"/>
    <w:rsid w:val="006C4162"/>
    <w:rsid w:val="006C5218"/>
    <w:rsid w:val="006C5C67"/>
    <w:rsid w:val="006C6975"/>
    <w:rsid w:val="006D3C62"/>
    <w:rsid w:val="006D5058"/>
    <w:rsid w:val="006D613A"/>
    <w:rsid w:val="006D7743"/>
    <w:rsid w:val="006E3717"/>
    <w:rsid w:val="006E44C6"/>
    <w:rsid w:val="006E6D62"/>
    <w:rsid w:val="006F2A05"/>
    <w:rsid w:val="006F30FE"/>
    <w:rsid w:val="006F3F77"/>
    <w:rsid w:val="006F40A9"/>
    <w:rsid w:val="00700A72"/>
    <w:rsid w:val="00702010"/>
    <w:rsid w:val="00702400"/>
    <w:rsid w:val="007053AF"/>
    <w:rsid w:val="007058C1"/>
    <w:rsid w:val="007066AF"/>
    <w:rsid w:val="0071025C"/>
    <w:rsid w:val="00711E93"/>
    <w:rsid w:val="00714851"/>
    <w:rsid w:val="00720C7E"/>
    <w:rsid w:val="00721E82"/>
    <w:rsid w:val="007256AF"/>
    <w:rsid w:val="0072610C"/>
    <w:rsid w:val="0072796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3C2C"/>
    <w:rsid w:val="00755E09"/>
    <w:rsid w:val="00757F93"/>
    <w:rsid w:val="00760274"/>
    <w:rsid w:val="00764E6C"/>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D75D1"/>
    <w:rsid w:val="007E07F8"/>
    <w:rsid w:val="007E0991"/>
    <w:rsid w:val="007E0B64"/>
    <w:rsid w:val="007E0DDB"/>
    <w:rsid w:val="007E2054"/>
    <w:rsid w:val="007E3BE6"/>
    <w:rsid w:val="007E5AAA"/>
    <w:rsid w:val="007F06EB"/>
    <w:rsid w:val="007F0821"/>
    <w:rsid w:val="007F2E84"/>
    <w:rsid w:val="007F580F"/>
    <w:rsid w:val="007F6320"/>
    <w:rsid w:val="007F7198"/>
    <w:rsid w:val="00800E3E"/>
    <w:rsid w:val="0080180D"/>
    <w:rsid w:val="00801A67"/>
    <w:rsid w:val="008027B9"/>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69AC"/>
    <w:rsid w:val="00847F58"/>
    <w:rsid w:val="00850661"/>
    <w:rsid w:val="00852977"/>
    <w:rsid w:val="00856A30"/>
    <w:rsid w:val="00861032"/>
    <w:rsid w:val="0086712C"/>
    <w:rsid w:val="0086759B"/>
    <w:rsid w:val="00870EA9"/>
    <w:rsid w:val="00873C70"/>
    <w:rsid w:val="00874084"/>
    <w:rsid w:val="0087421E"/>
    <w:rsid w:val="008742BE"/>
    <w:rsid w:val="008747C6"/>
    <w:rsid w:val="00875311"/>
    <w:rsid w:val="00881E61"/>
    <w:rsid w:val="00882422"/>
    <w:rsid w:val="00885D9E"/>
    <w:rsid w:val="00887DB6"/>
    <w:rsid w:val="00891B1A"/>
    <w:rsid w:val="0089313A"/>
    <w:rsid w:val="008947D5"/>
    <w:rsid w:val="00895B0D"/>
    <w:rsid w:val="00896918"/>
    <w:rsid w:val="008A21FB"/>
    <w:rsid w:val="008A5A27"/>
    <w:rsid w:val="008B1494"/>
    <w:rsid w:val="008B1A45"/>
    <w:rsid w:val="008B1BA2"/>
    <w:rsid w:val="008B31EC"/>
    <w:rsid w:val="008B3668"/>
    <w:rsid w:val="008B37CF"/>
    <w:rsid w:val="008B38ED"/>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3E23"/>
    <w:rsid w:val="008E4DFB"/>
    <w:rsid w:val="008E5C37"/>
    <w:rsid w:val="008F0A66"/>
    <w:rsid w:val="008F19CF"/>
    <w:rsid w:val="008F2C40"/>
    <w:rsid w:val="008F5AB8"/>
    <w:rsid w:val="009005D1"/>
    <w:rsid w:val="009022D9"/>
    <w:rsid w:val="00902344"/>
    <w:rsid w:val="00905392"/>
    <w:rsid w:val="0090610A"/>
    <w:rsid w:val="0091469D"/>
    <w:rsid w:val="00922BE2"/>
    <w:rsid w:val="0092797C"/>
    <w:rsid w:val="009316E1"/>
    <w:rsid w:val="00933EF2"/>
    <w:rsid w:val="00935791"/>
    <w:rsid w:val="0094129A"/>
    <w:rsid w:val="009418B3"/>
    <w:rsid w:val="00942682"/>
    <w:rsid w:val="009456E8"/>
    <w:rsid w:val="00947F83"/>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7D4"/>
    <w:rsid w:val="009B2E0B"/>
    <w:rsid w:val="009B3DD9"/>
    <w:rsid w:val="009B5DD4"/>
    <w:rsid w:val="009B6ED4"/>
    <w:rsid w:val="009B722B"/>
    <w:rsid w:val="009B7801"/>
    <w:rsid w:val="009C0EC1"/>
    <w:rsid w:val="009C58C8"/>
    <w:rsid w:val="009C6EFF"/>
    <w:rsid w:val="009D0169"/>
    <w:rsid w:val="009D105C"/>
    <w:rsid w:val="009D1552"/>
    <w:rsid w:val="009D1D17"/>
    <w:rsid w:val="009D46E4"/>
    <w:rsid w:val="009D56AA"/>
    <w:rsid w:val="009E1AA1"/>
    <w:rsid w:val="009E42BD"/>
    <w:rsid w:val="009E583E"/>
    <w:rsid w:val="009F159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37D1E"/>
    <w:rsid w:val="00A42127"/>
    <w:rsid w:val="00A42374"/>
    <w:rsid w:val="00A4396D"/>
    <w:rsid w:val="00A53163"/>
    <w:rsid w:val="00A64E93"/>
    <w:rsid w:val="00A65B63"/>
    <w:rsid w:val="00A66424"/>
    <w:rsid w:val="00A67818"/>
    <w:rsid w:val="00A72726"/>
    <w:rsid w:val="00A73E02"/>
    <w:rsid w:val="00A73FDD"/>
    <w:rsid w:val="00A74039"/>
    <w:rsid w:val="00A748C8"/>
    <w:rsid w:val="00A75027"/>
    <w:rsid w:val="00A77725"/>
    <w:rsid w:val="00A7782E"/>
    <w:rsid w:val="00A80C70"/>
    <w:rsid w:val="00A86C9C"/>
    <w:rsid w:val="00A9228A"/>
    <w:rsid w:val="00A9660F"/>
    <w:rsid w:val="00AA189D"/>
    <w:rsid w:val="00AB464A"/>
    <w:rsid w:val="00AB635A"/>
    <w:rsid w:val="00AC11C4"/>
    <w:rsid w:val="00AC4E85"/>
    <w:rsid w:val="00AC4FA3"/>
    <w:rsid w:val="00AC53B6"/>
    <w:rsid w:val="00AC5DCF"/>
    <w:rsid w:val="00AC7435"/>
    <w:rsid w:val="00AD03CE"/>
    <w:rsid w:val="00AD17E3"/>
    <w:rsid w:val="00AD72E0"/>
    <w:rsid w:val="00AE2262"/>
    <w:rsid w:val="00AE3397"/>
    <w:rsid w:val="00AE5CFF"/>
    <w:rsid w:val="00AE6938"/>
    <w:rsid w:val="00AF0C35"/>
    <w:rsid w:val="00AF1BAB"/>
    <w:rsid w:val="00AF3355"/>
    <w:rsid w:val="00AF4F62"/>
    <w:rsid w:val="00AF6743"/>
    <w:rsid w:val="00B015A4"/>
    <w:rsid w:val="00B05EC0"/>
    <w:rsid w:val="00B06E3C"/>
    <w:rsid w:val="00B13E22"/>
    <w:rsid w:val="00B14CA8"/>
    <w:rsid w:val="00B14EF1"/>
    <w:rsid w:val="00B2062C"/>
    <w:rsid w:val="00B22018"/>
    <w:rsid w:val="00B2297E"/>
    <w:rsid w:val="00B30372"/>
    <w:rsid w:val="00B3169A"/>
    <w:rsid w:val="00B356F9"/>
    <w:rsid w:val="00B374FC"/>
    <w:rsid w:val="00B4014E"/>
    <w:rsid w:val="00B41D89"/>
    <w:rsid w:val="00B430D9"/>
    <w:rsid w:val="00B436C0"/>
    <w:rsid w:val="00B4384A"/>
    <w:rsid w:val="00B46589"/>
    <w:rsid w:val="00B474A2"/>
    <w:rsid w:val="00B47A7C"/>
    <w:rsid w:val="00B53FCE"/>
    <w:rsid w:val="00B54115"/>
    <w:rsid w:val="00B57902"/>
    <w:rsid w:val="00B61305"/>
    <w:rsid w:val="00B64CD6"/>
    <w:rsid w:val="00B72F1A"/>
    <w:rsid w:val="00B7667A"/>
    <w:rsid w:val="00B767A6"/>
    <w:rsid w:val="00B809E2"/>
    <w:rsid w:val="00B81798"/>
    <w:rsid w:val="00B845E5"/>
    <w:rsid w:val="00B85F1D"/>
    <w:rsid w:val="00B86B23"/>
    <w:rsid w:val="00B90A31"/>
    <w:rsid w:val="00B9182F"/>
    <w:rsid w:val="00B960EB"/>
    <w:rsid w:val="00B96291"/>
    <w:rsid w:val="00BA090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5A"/>
    <w:rsid w:val="00BE5EC1"/>
    <w:rsid w:val="00BF3635"/>
    <w:rsid w:val="00BF3C78"/>
    <w:rsid w:val="00BF583B"/>
    <w:rsid w:val="00BF6470"/>
    <w:rsid w:val="00C027F1"/>
    <w:rsid w:val="00C035D9"/>
    <w:rsid w:val="00C03D99"/>
    <w:rsid w:val="00C04689"/>
    <w:rsid w:val="00C053A0"/>
    <w:rsid w:val="00C06ECA"/>
    <w:rsid w:val="00C10718"/>
    <w:rsid w:val="00C1192B"/>
    <w:rsid w:val="00C12D9D"/>
    <w:rsid w:val="00C23943"/>
    <w:rsid w:val="00C2490E"/>
    <w:rsid w:val="00C24EB3"/>
    <w:rsid w:val="00C274FA"/>
    <w:rsid w:val="00C32036"/>
    <w:rsid w:val="00C32723"/>
    <w:rsid w:val="00C350FD"/>
    <w:rsid w:val="00C35DE1"/>
    <w:rsid w:val="00C36159"/>
    <w:rsid w:val="00C401B0"/>
    <w:rsid w:val="00C42178"/>
    <w:rsid w:val="00C42803"/>
    <w:rsid w:val="00C44261"/>
    <w:rsid w:val="00C445E9"/>
    <w:rsid w:val="00C469BA"/>
    <w:rsid w:val="00C5019C"/>
    <w:rsid w:val="00C50DF4"/>
    <w:rsid w:val="00C51F2F"/>
    <w:rsid w:val="00C52069"/>
    <w:rsid w:val="00C570B3"/>
    <w:rsid w:val="00C57558"/>
    <w:rsid w:val="00C628AF"/>
    <w:rsid w:val="00C6408D"/>
    <w:rsid w:val="00C65079"/>
    <w:rsid w:val="00C652E5"/>
    <w:rsid w:val="00C6556A"/>
    <w:rsid w:val="00C70B63"/>
    <w:rsid w:val="00C719F9"/>
    <w:rsid w:val="00C72EB8"/>
    <w:rsid w:val="00C81AC6"/>
    <w:rsid w:val="00C81FBE"/>
    <w:rsid w:val="00C82328"/>
    <w:rsid w:val="00C861CC"/>
    <w:rsid w:val="00C86C39"/>
    <w:rsid w:val="00C875B8"/>
    <w:rsid w:val="00C916A8"/>
    <w:rsid w:val="00C94133"/>
    <w:rsid w:val="00C954CB"/>
    <w:rsid w:val="00C95806"/>
    <w:rsid w:val="00C96A46"/>
    <w:rsid w:val="00CA0163"/>
    <w:rsid w:val="00CA274F"/>
    <w:rsid w:val="00CA2D69"/>
    <w:rsid w:val="00CA5BFD"/>
    <w:rsid w:val="00CA7029"/>
    <w:rsid w:val="00CA77D7"/>
    <w:rsid w:val="00CB184F"/>
    <w:rsid w:val="00CB2329"/>
    <w:rsid w:val="00CB7F55"/>
    <w:rsid w:val="00CC1F88"/>
    <w:rsid w:val="00CC42CB"/>
    <w:rsid w:val="00CC4A72"/>
    <w:rsid w:val="00CC588F"/>
    <w:rsid w:val="00CC5E7F"/>
    <w:rsid w:val="00CC6A0D"/>
    <w:rsid w:val="00CC6FDC"/>
    <w:rsid w:val="00CD4AA9"/>
    <w:rsid w:val="00CD4C2D"/>
    <w:rsid w:val="00CD7E64"/>
    <w:rsid w:val="00CE2807"/>
    <w:rsid w:val="00CE51ED"/>
    <w:rsid w:val="00CE5FA2"/>
    <w:rsid w:val="00CE70FE"/>
    <w:rsid w:val="00CE72E5"/>
    <w:rsid w:val="00CE75D6"/>
    <w:rsid w:val="00CF2090"/>
    <w:rsid w:val="00D02A80"/>
    <w:rsid w:val="00D02F09"/>
    <w:rsid w:val="00D04082"/>
    <w:rsid w:val="00D045B3"/>
    <w:rsid w:val="00D05763"/>
    <w:rsid w:val="00D06122"/>
    <w:rsid w:val="00D063E6"/>
    <w:rsid w:val="00D06B8E"/>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214E"/>
    <w:rsid w:val="00D541FD"/>
    <w:rsid w:val="00D55D9B"/>
    <w:rsid w:val="00D5735C"/>
    <w:rsid w:val="00D63D46"/>
    <w:rsid w:val="00D65D4B"/>
    <w:rsid w:val="00D67FC9"/>
    <w:rsid w:val="00D7369F"/>
    <w:rsid w:val="00D7395F"/>
    <w:rsid w:val="00D73BAE"/>
    <w:rsid w:val="00D74720"/>
    <w:rsid w:val="00D74830"/>
    <w:rsid w:val="00D8067A"/>
    <w:rsid w:val="00D80CE9"/>
    <w:rsid w:val="00D8385E"/>
    <w:rsid w:val="00D8484B"/>
    <w:rsid w:val="00D84BE8"/>
    <w:rsid w:val="00D87C0E"/>
    <w:rsid w:val="00D902A3"/>
    <w:rsid w:val="00D92945"/>
    <w:rsid w:val="00DA1807"/>
    <w:rsid w:val="00DA1F01"/>
    <w:rsid w:val="00DA3E7D"/>
    <w:rsid w:val="00DA5412"/>
    <w:rsid w:val="00DB1CE7"/>
    <w:rsid w:val="00DB1DA0"/>
    <w:rsid w:val="00DB5973"/>
    <w:rsid w:val="00DB7BE8"/>
    <w:rsid w:val="00DC0B43"/>
    <w:rsid w:val="00DC1BDD"/>
    <w:rsid w:val="00DC24A0"/>
    <w:rsid w:val="00DC2DE6"/>
    <w:rsid w:val="00DC510B"/>
    <w:rsid w:val="00DC5C52"/>
    <w:rsid w:val="00DC5E7B"/>
    <w:rsid w:val="00DC7EB7"/>
    <w:rsid w:val="00DD0508"/>
    <w:rsid w:val="00DD15A2"/>
    <w:rsid w:val="00DD56E7"/>
    <w:rsid w:val="00DD5F54"/>
    <w:rsid w:val="00DD607F"/>
    <w:rsid w:val="00DD71A5"/>
    <w:rsid w:val="00DE0A54"/>
    <w:rsid w:val="00DE129F"/>
    <w:rsid w:val="00DE491C"/>
    <w:rsid w:val="00DE5962"/>
    <w:rsid w:val="00DE6B0F"/>
    <w:rsid w:val="00DE7BCF"/>
    <w:rsid w:val="00DF1F02"/>
    <w:rsid w:val="00DF399B"/>
    <w:rsid w:val="00DF4BF9"/>
    <w:rsid w:val="00DF56F6"/>
    <w:rsid w:val="00DF7885"/>
    <w:rsid w:val="00DF7A06"/>
    <w:rsid w:val="00E02438"/>
    <w:rsid w:val="00E03B51"/>
    <w:rsid w:val="00E06E78"/>
    <w:rsid w:val="00E07B36"/>
    <w:rsid w:val="00E10BAC"/>
    <w:rsid w:val="00E129F4"/>
    <w:rsid w:val="00E16030"/>
    <w:rsid w:val="00E17058"/>
    <w:rsid w:val="00E207FF"/>
    <w:rsid w:val="00E22620"/>
    <w:rsid w:val="00E2657F"/>
    <w:rsid w:val="00E32711"/>
    <w:rsid w:val="00E40832"/>
    <w:rsid w:val="00E539FD"/>
    <w:rsid w:val="00E57582"/>
    <w:rsid w:val="00E57C3B"/>
    <w:rsid w:val="00E6023E"/>
    <w:rsid w:val="00E6366E"/>
    <w:rsid w:val="00E642C0"/>
    <w:rsid w:val="00E658E9"/>
    <w:rsid w:val="00E6762D"/>
    <w:rsid w:val="00E70AE7"/>
    <w:rsid w:val="00E72DDC"/>
    <w:rsid w:val="00E73A79"/>
    <w:rsid w:val="00E76551"/>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0448"/>
    <w:rsid w:val="00ED086D"/>
    <w:rsid w:val="00ED38C2"/>
    <w:rsid w:val="00EE0A14"/>
    <w:rsid w:val="00EE1380"/>
    <w:rsid w:val="00EE4C5F"/>
    <w:rsid w:val="00EE6017"/>
    <w:rsid w:val="00EF0050"/>
    <w:rsid w:val="00EF12F0"/>
    <w:rsid w:val="00EF154E"/>
    <w:rsid w:val="00EF266E"/>
    <w:rsid w:val="00EF2D9C"/>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12EF"/>
    <w:rsid w:val="00F51E6B"/>
    <w:rsid w:val="00F5589C"/>
    <w:rsid w:val="00F558A9"/>
    <w:rsid w:val="00F56D94"/>
    <w:rsid w:val="00F61A4D"/>
    <w:rsid w:val="00F63735"/>
    <w:rsid w:val="00F640DB"/>
    <w:rsid w:val="00F666F6"/>
    <w:rsid w:val="00F6698D"/>
    <w:rsid w:val="00F711F3"/>
    <w:rsid w:val="00F728E9"/>
    <w:rsid w:val="00F73F31"/>
    <w:rsid w:val="00F75FCA"/>
    <w:rsid w:val="00F8120D"/>
    <w:rsid w:val="00F85B4D"/>
    <w:rsid w:val="00F9549F"/>
    <w:rsid w:val="00F96DEE"/>
    <w:rsid w:val="00F97656"/>
    <w:rsid w:val="00FA2D5C"/>
    <w:rsid w:val="00FA38BA"/>
    <w:rsid w:val="00FA762F"/>
    <w:rsid w:val="00FB0345"/>
    <w:rsid w:val="00FC1B88"/>
    <w:rsid w:val="00FC237B"/>
    <w:rsid w:val="00FC3002"/>
    <w:rsid w:val="00FC3BDB"/>
    <w:rsid w:val="00FC6CDE"/>
    <w:rsid w:val="00FD083C"/>
    <w:rsid w:val="00FD1C34"/>
    <w:rsid w:val="00FD2827"/>
    <w:rsid w:val="00FD2CB9"/>
    <w:rsid w:val="00FD3992"/>
    <w:rsid w:val="00FD5EC1"/>
    <w:rsid w:val="00FD72D7"/>
    <w:rsid w:val="00FE0D32"/>
    <w:rsid w:val="00FF14F1"/>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B2DC7-BE99-414E-BCBF-4E7BF564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5">
    <w:name w:val="פרשה תו"/>
    <w:basedOn w:val="10"/>
    <w:link w:val="a6"/>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rPr>
      <w:rFonts w:cs="Narkisim"/>
      <w:position w:val="6"/>
      <w:sz w:val="16"/>
      <w:szCs w:val="16"/>
      <w:lang w:bidi="he-IL"/>
    </w:rPr>
  </w:style>
  <w:style w:type="character" w:customStyle="1" w:styleId="a4">
    <w:name w:val="טקסט הערת שוליים תו"/>
    <w:aliases w:val="הערות שוליים דוקטורט תו"/>
    <w:basedOn w:val="a0"/>
    <w:link w:val="a3"/>
    <w:locked/>
    <w:rsid w:val="00285DB2"/>
    <w:rPr>
      <w:rFonts w:cs="Narkisim"/>
      <w:position w:val="6"/>
      <w:sz w:val="18"/>
      <w:szCs w:val="18"/>
      <w:lang w:val="en-US" w:eastAsia="en-US"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autoRedefine/>
    <w:uiPriority w:val="99"/>
    <w:qFormat/>
    <w:rsid w:val="00CE72E5"/>
    <w:pPr>
      <w:tabs>
        <w:tab w:val="right" w:pos="4620"/>
      </w:tabs>
      <w:spacing w:before="120" w:line="480" w:lineRule="auto"/>
      <w:ind w:left="567"/>
    </w:pPr>
    <w:rPr>
      <w:sz w:val="24"/>
      <w:szCs w:val="24"/>
    </w:r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99"/>
    <w:locked/>
    <w:rsid w:val="00CE72E5"/>
    <w:rPr>
      <w:rFonts w:cs="Narkisim"/>
      <w:sz w:val="24"/>
      <w:szCs w:val="24"/>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Narkisim"/>
      <w:sz w:val="20"/>
      <w:lang w:bidi="he-IL"/>
    </w:rPr>
  </w:style>
  <w:style w:type="character" w:customStyle="1" w:styleId="af1">
    <w:name w:val="גוף טקסט תו"/>
    <w:basedOn w:val="a0"/>
    <w:link w:val="af0"/>
    <w:uiPriority w:val="99"/>
    <w:semiHidden/>
    <w:locked/>
    <w:rPr>
      <w:rFonts w:cs="Narkisim"/>
      <w:sz w:val="20"/>
      <w:lang w:bidi="he-IL"/>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Narkisim"/>
      <w:sz w:val="16"/>
      <w:szCs w:val="16"/>
      <w:lang w:bidi="he-IL"/>
    </w:rPr>
  </w:style>
  <w:style w:type="paragraph" w:customStyle="1" w:styleId="11">
    <w:name w:val="סגנון1"/>
    <w:basedOn w:val="aa"/>
    <w:uiPriority w:val="99"/>
  </w:style>
  <w:style w:type="character" w:styleId="af2">
    <w:name w:val="page number"/>
    <w:basedOn w:val="a0"/>
    <w:uiPriority w:val="99"/>
    <w:rPr>
      <w:rFonts w:cs="Narkisim"/>
      <w:sz w:val="16"/>
      <w:szCs w:val="16"/>
      <w:lang w:bidi="he-IL"/>
    </w:rPr>
  </w:style>
  <w:style w:type="character" w:customStyle="1" w:styleId="23">
    <w:name w:val="כניסה בגוף טקסט 2 תו"/>
    <w:basedOn w:val="a0"/>
    <w:link w:val="22"/>
    <w:uiPriority w:val="99"/>
    <w:semiHidden/>
    <w:locked/>
    <w:rPr>
      <w:rFonts w:cs="Narkisim"/>
      <w:sz w:val="20"/>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psk1">
    <w:name w:val="psk1"/>
    <w:basedOn w:val="a0"/>
    <w:uiPriority w:val="99"/>
    <w:rsid w:val="00245DD3"/>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psk">
    <w:name w:val="psk"/>
    <w:basedOn w:val="a0"/>
    <w:uiPriority w:val="99"/>
    <w:rsid w:val="00F05889"/>
    <w:rPr>
      <w:rFonts w:ascii="Arial" w:hAnsi="Arial" w:cs="Arial"/>
      <w:color w:val="auto"/>
      <w:sz w:val="17"/>
      <w:szCs w:val="17"/>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19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34E8-6243-4B92-9207-FDBDBE07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7089</TotalTime>
  <Pages>7</Pages>
  <Words>2100</Words>
  <Characters>10503</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Elisha</cp:lastModifiedBy>
  <cp:revision>7</cp:revision>
  <cp:lastPrinted>2001-10-24T11:13:00Z</cp:lastPrinted>
  <dcterms:created xsi:type="dcterms:W3CDTF">2016-04-08T12:59:00Z</dcterms:created>
  <dcterms:modified xsi:type="dcterms:W3CDTF">2016-04-17T16:31:00Z</dcterms:modified>
</cp:coreProperties>
</file>