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BC5418">
      <w:pPr>
        <w:pStyle w:val="a8"/>
        <w:contextualSpacing/>
        <w:rPr>
          <w:rtl/>
        </w:rPr>
      </w:pPr>
      <w:r>
        <w:rPr>
          <w:rFonts w:hint="cs"/>
          <w:rtl/>
        </w:rPr>
        <w:t xml:space="preserve">פרופ' </w:t>
      </w:r>
      <w:r w:rsidR="00BC5418">
        <w:rPr>
          <w:rFonts w:hint="cs"/>
          <w:rtl/>
        </w:rPr>
        <w:t>יונתן גרוסמן</w:t>
      </w:r>
    </w:p>
    <w:p w14:paraId="063007BD" w14:textId="77777777" w:rsidR="009D5639" w:rsidRPr="00C1023C" w:rsidRDefault="009D5639" w:rsidP="00BC5418">
      <w:pPr>
        <w:pStyle w:val="a8"/>
        <w:contextualSpacing/>
        <w:rPr>
          <w:rtl/>
        </w:rPr>
      </w:pPr>
    </w:p>
    <w:p w14:paraId="1E7660BB" w14:textId="550BB5D9" w:rsidR="00BD0D01" w:rsidRDefault="007F35DF" w:rsidP="007F35DF">
      <w:pPr>
        <w:pStyle w:val="1"/>
        <w:contextualSpacing/>
        <w:rPr>
          <w:rtl/>
        </w:rPr>
      </w:pPr>
      <w:r>
        <w:rPr>
          <w:rFonts w:hint="cs"/>
          <w:rtl/>
        </w:rPr>
        <w:t>32</w:t>
      </w:r>
      <w:r w:rsidR="00C12029">
        <w:rPr>
          <w:rFonts w:hint="cs"/>
          <w:rtl/>
        </w:rPr>
        <w:t xml:space="preserve"> </w:t>
      </w:r>
      <w:r w:rsidRPr="007F35DF">
        <w:rPr>
          <w:rtl/>
        </w:rPr>
        <w:t>קורבן עולה ויורד על חילול השם בעבירות מחדל</w:t>
      </w:r>
    </w:p>
    <w:p w14:paraId="41D6E121" w14:textId="77777777" w:rsidR="00437A07" w:rsidRDefault="00437A07" w:rsidP="00C12029">
      <w:pPr>
        <w:rPr>
          <w:rtl/>
        </w:rPr>
      </w:pPr>
    </w:p>
    <w:p w14:paraId="55A6A640" w14:textId="070B1AA5" w:rsidR="007F35DF" w:rsidRPr="005932DC" w:rsidRDefault="007F35DF" w:rsidP="00660BA1">
      <w:pPr>
        <w:rPr>
          <w:rtl/>
        </w:rPr>
      </w:pPr>
      <w:bookmarkStart w:id="0" w:name="_GoBack"/>
      <w:r>
        <w:rPr>
          <w:rFonts w:hint="cs"/>
          <w:rtl/>
        </w:rPr>
        <w:t xml:space="preserve">לאחר שבחנו את שלושת המקרים שבעטיים יש להביא קורבן עולה ויורד </w:t>
      </w:r>
      <w:r w:rsidR="00660BA1">
        <w:rPr>
          <w:rFonts w:hint="cs"/>
          <w:rtl/>
        </w:rPr>
        <w:t>ניתן</w:t>
      </w:r>
      <w:r>
        <w:rPr>
          <w:rFonts w:hint="cs"/>
          <w:rtl/>
        </w:rPr>
        <w:t xml:space="preserve"> לדון במשותף להם. נדמה שה</w:t>
      </w:r>
      <w:r w:rsidRPr="005932DC">
        <w:rPr>
          <w:rtl/>
        </w:rPr>
        <w:t xml:space="preserve">שורש </w:t>
      </w:r>
      <w:r>
        <w:rPr>
          <w:rFonts w:hint="cs"/>
          <w:rtl/>
        </w:rPr>
        <w:t>ה</w:t>
      </w:r>
      <w:r w:rsidRPr="005932DC">
        <w:rPr>
          <w:rtl/>
        </w:rPr>
        <w:t>משותף ל</w:t>
      </w:r>
      <w:r>
        <w:rPr>
          <w:rFonts w:hint="cs"/>
          <w:rtl/>
        </w:rPr>
        <w:t>שלושת ה</w:t>
      </w:r>
      <w:r w:rsidRPr="005932DC">
        <w:rPr>
          <w:rtl/>
        </w:rPr>
        <w:t xml:space="preserve">מקרים </w:t>
      </w:r>
      <w:r>
        <w:rPr>
          <w:rFonts w:hint="cs"/>
          <w:rtl/>
        </w:rPr>
        <w:t>ה</w:t>
      </w:r>
      <w:r w:rsidRPr="005932DC">
        <w:rPr>
          <w:rtl/>
        </w:rPr>
        <w:t xml:space="preserve">אלו </w:t>
      </w:r>
      <w:r>
        <w:rPr>
          <w:rFonts w:hint="cs"/>
          <w:rtl/>
        </w:rPr>
        <w:t xml:space="preserve">הוא </w:t>
      </w:r>
      <w:r w:rsidRPr="005932DC">
        <w:rPr>
          <w:rtl/>
        </w:rPr>
        <w:t xml:space="preserve">המחדל הפאסיבי </w:t>
      </w:r>
      <w:r>
        <w:rPr>
          <w:rFonts w:hint="cs"/>
          <w:rtl/>
        </w:rPr>
        <w:t xml:space="preserve">שניצב בתשתיתם. </w:t>
      </w:r>
      <w:r w:rsidRPr="005932DC">
        <w:rPr>
          <w:rtl/>
        </w:rPr>
        <w:t xml:space="preserve">אדם אשר </w:t>
      </w:r>
      <w:r w:rsidRPr="005932DC">
        <w:rPr>
          <w:b/>
          <w:bCs/>
          <w:rtl/>
        </w:rPr>
        <w:t>לא העיד</w:t>
      </w:r>
      <w:r>
        <w:rPr>
          <w:rFonts w:hint="cs"/>
          <w:rtl/>
        </w:rPr>
        <w:t xml:space="preserve"> למרות שהיה בכך צורך; אדם ש</w:t>
      </w:r>
      <w:r w:rsidRPr="005932DC">
        <w:rPr>
          <w:b/>
          <w:bCs/>
          <w:rtl/>
        </w:rPr>
        <w:t>לא נטהר</w:t>
      </w:r>
      <w:r w:rsidRPr="005932DC">
        <w:rPr>
          <w:rtl/>
        </w:rPr>
        <w:t>,</w:t>
      </w:r>
      <w:r>
        <w:rPr>
          <w:rFonts w:hint="cs"/>
          <w:rtl/>
        </w:rPr>
        <w:t xml:space="preserve"> למרות שנטמא,</w:t>
      </w:r>
      <w:r w:rsidRPr="005932DC">
        <w:rPr>
          <w:rtl/>
        </w:rPr>
        <w:t xml:space="preserve"> או</w:t>
      </w:r>
      <w:r>
        <w:rPr>
          <w:rFonts w:hint="cs"/>
          <w:rtl/>
        </w:rPr>
        <w:t xml:space="preserve"> אדם</w:t>
      </w:r>
      <w:r w:rsidRPr="005932DC">
        <w:rPr>
          <w:rtl/>
        </w:rPr>
        <w:t xml:space="preserve"> </w:t>
      </w:r>
      <w:r>
        <w:rPr>
          <w:rFonts w:hint="cs"/>
          <w:rtl/>
        </w:rPr>
        <w:t>ש</w:t>
      </w:r>
      <w:r w:rsidRPr="005932DC">
        <w:rPr>
          <w:b/>
          <w:bCs/>
          <w:rtl/>
        </w:rPr>
        <w:t>לא פעל</w:t>
      </w:r>
      <w:r w:rsidRPr="005932DC">
        <w:rPr>
          <w:rtl/>
        </w:rPr>
        <w:t xml:space="preserve"> </w:t>
      </w:r>
      <w:r>
        <w:rPr>
          <w:rFonts w:hint="cs"/>
          <w:rtl/>
        </w:rPr>
        <w:t xml:space="preserve">בהתאם להתחייבות שקיבל על עצמו בשבועה </w:t>
      </w:r>
      <w:r>
        <w:rPr>
          <w:rtl/>
        </w:rPr>
        <w:t>–</w:t>
      </w:r>
      <w:r>
        <w:rPr>
          <w:rFonts w:hint="cs"/>
          <w:rtl/>
        </w:rPr>
        <w:t xml:space="preserve"> צריך </w:t>
      </w:r>
      <w:r w:rsidRPr="005932DC">
        <w:rPr>
          <w:rtl/>
        </w:rPr>
        <w:t xml:space="preserve">להביא </w:t>
      </w:r>
      <w:r>
        <w:rPr>
          <w:rFonts w:hint="cs"/>
          <w:rtl/>
        </w:rPr>
        <w:t>חטאת עולה ויורד</w:t>
      </w:r>
      <w:r w:rsidRPr="005932DC">
        <w:rPr>
          <w:rtl/>
        </w:rPr>
        <w:t>. ב</w:t>
      </w:r>
      <w:r>
        <w:rPr>
          <w:rFonts w:hint="cs"/>
          <w:rtl/>
        </w:rPr>
        <w:t xml:space="preserve">פאסיביות שמלווה חטאים אלו נבדלת חטאת זו </w:t>
      </w:r>
      <w:r w:rsidRPr="005932DC">
        <w:rPr>
          <w:rtl/>
        </w:rPr>
        <w:t xml:space="preserve">מקורבן החטאת הרגיל, שהרי החטאת הרגילה באה במקרה </w:t>
      </w:r>
      <w:r w:rsidRPr="0045247B">
        <w:rPr>
          <w:rtl/>
        </w:rPr>
        <w:t>ש</w:t>
      </w:r>
      <w:r w:rsidRPr="0045247B">
        <w:rPr>
          <w:rFonts w:hint="cs"/>
          <w:rtl/>
        </w:rPr>
        <w:t>החוטא "עָשָׂה</w:t>
      </w:r>
      <w:r w:rsidRPr="0045247B">
        <w:rPr>
          <w:rtl/>
        </w:rPr>
        <w:t xml:space="preserve"> </w:t>
      </w:r>
      <w:r w:rsidRPr="0045247B">
        <w:rPr>
          <w:rFonts w:hint="cs"/>
          <w:rtl/>
        </w:rPr>
        <w:t>מֵאַחַת</w:t>
      </w:r>
      <w:r w:rsidRPr="0045247B">
        <w:rPr>
          <w:rtl/>
        </w:rPr>
        <w:t xml:space="preserve"> </w:t>
      </w:r>
      <w:r w:rsidRPr="0045247B">
        <w:rPr>
          <w:rFonts w:hint="cs"/>
          <w:rtl/>
        </w:rPr>
        <w:t>מֵהֵנָּה</w:t>
      </w:r>
      <w:r w:rsidRPr="0045247B">
        <w:rPr>
          <w:rtl/>
        </w:rPr>
        <w:t xml:space="preserve">" </w:t>
      </w:r>
      <w:r w:rsidRPr="007F35DF">
        <w:rPr>
          <w:sz w:val="20"/>
          <w:szCs w:val="20"/>
          <w:rtl/>
        </w:rPr>
        <w:t>(ויקרא ד', א)</w:t>
      </w:r>
      <w:r>
        <w:rPr>
          <w:rFonts w:hint="cs"/>
          <w:rtl/>
        </w:rPr>
        <w:t>;</w:t>
      </w:r>
      <w:r w:rsidRPr="0045247B">
        <w:rPr>
          <w:rFonts w:hint="cs"/>
          <w:rtl/>
        </w:rPr>
        <w:t xml:space="preserve"> </w:t>
      </w:r>
      <w:r w:rsidRPr="0045247B">
        <w:rPr>
          <w:rtl/>
        </w:rPr>
        <w:t xml:space="preserve">החיוב </w:t>
      </w:r>
      <w:r w:rsidRPr="0045247B">
        <w:rPr>
          <w:rFonts w:hint="cs"/>
          <w:rtl/>
        </w:rPr>
        <w:t>נובע מ</w:t>
      </w:r>
      <w:r w:rsidRPr="0045247B">
        <w:rPr>
          <w:rtl/>
        </w:rPr>
        <w:t xml:space="preserve">פעולה </w:t>
      </w:r>
      <w:r w:rsidRPr="0045247B">
        <w:rPr>
          <w:rFonts w:hint="cs"/>
          <w:rtl/>
        </w:rPr>
        <w:t>אסורה שלו, מעבירה של לא תעשה. לעומ</w:t>
      </w:r>
      <w:r>
        <w:rPr>
          <w:rFonts w:hint="cs"/>
          <w:rtl/>
        </w:rPr>
        <w:t xml:space="preserve">ת זאת </w:t>
      </w:r>
      <w:r w:rsidRPr="005932DC">
        <w:rPr>
          <w:rtl/>
        </w:rPr>
        <w:t>חיוב קורבן עולה ויורד, חל על אדם בשל חוסר מעש שלו, בשל אי עשיית פעולה מתבקשת או מצופה ממנו, בשל מחדלו.</w:t>
      </w:r>
      <w:r w:rsidRPr="005932DC">
        <w:rPr>
          <w:vertAlign w:val="superscript"/>
          <w:rtl/>
        </w:rPr>
        <w:footnoteReference w:id="1"/>
      </w:r>
    </w:p>
    <w:p w14:paraId="7544CE39" w14:textId="1EC7DCE2" w:rsidR="007F35DF" w:rsidRPr="005932DC" w:rsidRDefault="007F35DF" w:rsidP="007F35DF">
      <w:pPr>
        <w:rPr>
          <w:rtl/>
        </w:rPr>
      </w:pPr>
      <w:r w:rsidRPr="005932DC">
        <w:rPr>
          <w:rtl/>
        </w:rPr>
        <w:t xml:space="preserve">ישנם מקרים </w:t>
      </w:r>
      <w:r>
        <w:rPr>
          <w:rFonts w:hint="cs"/>
          <w:rtl/>
        </w:rPr>
        <w:t xml:space="preserve">שמוטלת </w:t>
      </w:r>
      <w:r w:rsidRPr="005932DC">
        <w:rPr>
          <w:rtl/>
        </w:rPr>
        <w:t xml:space="preserve">בהם אחריות מסוימת על האדם, בין אם אחריות אשר הוטלה עליו עקב השתתפותו בסיטואציה מסוימת (מתן עדות), בין אם אחריות הנובעת מהגדרת הזיקה שבין היחיד לציבור שבתוכו שורה שכינה (טומאה), ובין אם אחריות שהאדם קיבל על עצמו (שבועה). במקרים </w:t>
      </w:r>
      <w:r>
        <w:rPr>
          <w:rFonts w:hint="cs"/>
          <w:rtl/>
        </w:rPr>
        <w:t>אלו</w:t>
      </w:r>
      <w:r w:rsidRPr="005932DC">
        <w:rPr>
          <w:rtl/>
        </w:rPr>
        <w:t>, אם האדם י</w:t>
      </w:r>
      <w:r>
        <w:rPr>
          <w:rFonts w:hint="cs"/>
          <w:rtl/>
        </w:rPr>
        <w:t xml:space="preserve">תכחש </w:t>
      </w:r>
      <w:r w:rsidRPr="005932DC">
        <w:rPr>
          <w:rtl/>
        </w:rPr>
        <w:t xml:space="preserve">לאחריות המוטלת עליו, ולא ייעתר לתביעתה, הוא יתחייב בהבאת הקורבן הנדון. </w:t>
      </w:r>
    </w:p>
    <w:p w14:paraId="6BA84CE7" w14:textId="58B04CC8" w:rsidR="007F35DF" w:rsidRPr="005932DC" w:rsidRDefault="007F35DF" w:rsidP="008F3787">
      <w:pPr>
        <w:rPr>
          <w:rtl/>
        </w:rPr>
      </w:pPr>
      <w:r w:rsidRPr="005932DC">
        <w:rPr>
          <w:rtl/>
        </w:rPr>
        <w:t xml:space="preserve">הנחת </w:t>
      </w:r>
      <w:r>
        <w:rPr>
          <w:rFonts w:hint="cs"/>
          <w:rtl/>
        </w:rPr>
        <w:t>ה</w:t>
      </w:r>
      <w:r w:rsidRPr="005932DC">
        <w:rPr>
          <w:rtl/>
        </w:rPr>
        <w:t>יסוד</w:t>
      </w:r>
      <w:r>
        <w:rPr>
          <w:rFonts w:hint="cs"/>
          <w:rtl/>
        </w:rPr>
        <w:t xml:space="preserve"> שמסתתרת בין השורות </w:t>
      </w:r>
      <w:r w:rsidRPr="005932DC">
        <w:rPr>
          <w:rtl/>
        </w:rPr>
        <w:t>היא שקשה להעניש אדם במקרה שהפר חוק ללא עשייה אקטיבית. על "שב ואל תעשה"</w:t>
      </w:r>
      <w:r w:rsidR="008F3787">
        <w:rPr>
          <w:rFonts w:hint="cs"/>
          <w:rtl/>
        </w:rPr>
        <w:t>,</w:t>
      </w:r>
      <w:r w:rsidRPr="005932DC">
        <w:rPr>
          <w:rtl/>
        </w:rPr>
        <w:t xml:space="preserve"> ביטול עשה</w:t>
      </w:r>
      <w:r>
        <w:rPr>
          <w:rFonts w:hint="cs"/>
          <w:rtl/>
        </w:rPr>
        <w:t xml:space="preserve"> </w:t>
      </w:r>
      <w:r>
        <w:rPr>
          <w:rtl/>
        </w:rPr>
        <w:t>–</w:t>
      </w:r>
      <w:r>
        <w:rPr>
          <w:rFonts w:hint="cs"/>
          <w:rtl/>
        </w:rPr>
        <w:t xml:space="preserve"> אין </w:t>
      </w:r>
      <w:r w:rsidRPr="005932DC">
        <w:rPr>
          <w:rtl/>
        </w:rPr>
        <w:t>ענישה של בי</w:t>
      </w:r>
      <w:r>
        <w:rPr>
          <w:rFonts w:hint="cs"/>
          <w:rtl/>
        </w:rPr>
        <w:t>ת דין</w:t>
      </w:r>
      <w:r w:rsidRPr="005932DC">
        <w:rPr>
          <w:rtl/>
        </w:rPr>
        <w:t xml:space="preserve">. גם אם עבר אדם ולא קיים את החובה המוטלת </w:t>
      </w:r>
      <w:r w:rsidRPr="005932DC">
        <w:rPr>
          <w:rtl/>
        </w:rPr>
        <w:t>עליו, לא ניתן להענישו. א</w:t>
      </w:r>
      <w:r w:rsidR="00B006CF">
        <w:rPr>
          <w:rFonts w:hint="cs"/>
          <w:rtl/>
        </w:rPr>
        <w:t>ו</w:t>
      </w:r>
      <w:r w:rsidRPr="005932DC">
        <w:rPr>
          <w:rtl/>
        </w:rPr>
        <w:t>מנם מצאנו מי מהתנאים ומהאמוראים שביקש לחייב מלקות גם על לאו שאין בו מעשה,</w:t>
      </w:r>
      <w:r w:rsidRPr="005932DC">
        <w:rPr>
          <w:vertAlign w:val="superscript"/>
          <w:rtl/>
        </w:rPr>
        <w:footnoteReference w:id="2"/>
      </w:r>
      <w:r w:rsidRPr="005932DC">
        <w:rPr>
          <w:rtl/>
        </w:rPr>
        <w:t xml:space="preserve"> אך דעה זו חריגה בנוף ההלכתי, ולא נפסק כמותה.</w:t>
      </w:r>
      <w:r w:rsidRPr="005932DC">
        <w:rPr>
          <w:vertAlign w:val="superscript"/>
          <w:rtl/>
        </w:rPr>
        <w:footnoteReference w:id="3"/>
      </w:r>
    </w:p>
    <w:p w14:paraId="329B1ED9" w14:textId="77777777" w:rsidR="007F35DF" w:rsidRPr="005932DC" w:rsidRDefault="007F35DF" w:rsidP="007F35DF">
      <w:pPr>
        <w:rPr>
          <w:rtl/>
        </w:rPr>
      </w:pPr>
      <w:r>
        <w:rPr>
          <w:rFonts w:hint="cs"/>
          <w:rtl/>
        </w:rPr>
        <w:t xml:space="preserve">מעניין להשוות את </w:t>
      </w:r>
      <w:r w:rsidRPr="005932DC">
        <w:rPr>
          <w:rtl/>
        </w:rPr>
        <w:t xml:space="preserve">חוסר הנוחות שבהטלת אחריות על מחדל, </w:t>
      </w:r>
      <w:r>
        <w:rPr>
          <w:rFonts w:hint="cs"/>
          <w:rtl/>
        </w:rPr>
        <w:t>לדיונים שנעשים</w:t>
      </w:r>
      <w:r w:rsidRPr="005932DC">
        <w:rPr>
          <w:rtl/>
        </w:rPr>
        <w:t xml:space="preserve"> בהקשרים </w:t>
      </w:r>
      <w:r>
        <w:rPr>
          <w:rFonts w:hint="cs"/>
          <w:rtl/>
        </w:rPr>
        <w:t>משפטיים שונים בימינו</w:t>
      </w:r>
      <w:r w:rsidRPr="005932DC">
        <w:rPr>
          <w:rtl/>
        </w:rPr>
        <w:t xml:space="preserve">. כך למשל התבטא השופט </w:t>
      </w:r>
      <w:r>
        <w:rPr>
          <w:rFonts w:hint="cs"/>
          <w:rtl/>
        </w:rPr>
        <w:t xml:space="preserve">(בדימוס) פרופ' </w:t>
      </w:r>
      <w:r w:rsidRPr="005932DC">
        <w:rPr>
          <w:rtl/>
        </w:rPr>
        <w:t>י</w:t>
      </w:r>
      <w:r>
        <w:rPr>
          <w:rFonts w:hint="cs"/>
          <w:rtl/>
        </w:rPr>
        <w:t>צחק</w:t>
      </w:r>
      <w:r w:rsidRPr="005932DC">
        <w:rPr>
          <w:rtl/>
        </w:rPr>
        <w:t xml:space="preserve"> </w:t>
      </w:r>
      <w:proofErr w:type="spellStart"/>
      <w:r w:rsidRPr="005932DC">
        <w:rPr>
          <w:rtl/>
        </w:rPr>
        <w:t>אנגלרד</w:t>
      </w:r>
      <w:proofErr w:type="spellEnd"/>
      <w:r w:rsidRPr="005932DC">
        <w:rPr>
          <w:rtl/>
        </w:rPr>
        <w:t>, ביחס לדיני נזיקין:</w:t>
      </w:r>
    </w:p>
    <w:p w14:paraId="03FB3816" w14:textId="52D1FFE7" w:rsidR="007F35DF" w:rsidRPr="005932DC" w:rsidRDefault="007F35DF" w:rsidP="007F35DF">
      <w:pPr>
        <w:ind w:left="720"/>
        <w:rPr>
          <w:rtl/>
        </w:rPr>
      </w:pPr>
      <w:r>
        <w:rPr>
          <w:rFonts w:hint="cs"/>
          <w:rtl/>
        </w:rPr>
        <w:t>"</w:t>
      </w:r>
      <w:r w:rsidRPr="005932DC">
        <w:rPr>
          <w:rtl/>
        </w:rPr>
        <w:t xml:space="preserve">ההלכה המסורתית היא, כי אין להטיל אחריות </w:t>
      </w:r>
      <w:proofErr w:type="spellStart"/>
      <w:r w:rsidRPr="005932DC">
        <w:rPr>
          <w:rtl/>
        </w:rPr>
        <w:t>בנזיקין</w:t>
      </w:r>
      <w:proofErr w:type="spellEnd"/>
      <w:r w:rsidRPr="005932DC">
        <w:rPr>
          <w:rtl/>
        </w:rPr>
        <w:t xml:space="preserve"> על מחדל טהור, בלתי אם קיים יחס מוקדם המטיל על אדם חובה לפעול. רעיון זה מתחייב מן המציאות, משום שאין מקום לחייב את כולי עלמא במניעת נזקים העומדים להתרחש על הזולת. יש לזכור, כי הטלת חובה לפעול למען הזולת, היא בהכרח פגיעה בחירותו של אדם. במסורת היהודית, כמו בשיטות משפט אחדות, קיים חריג לגבי מקרה של הצלת נפש. לאחרונה נחקק אצלנו חוק, שמטרתו להגשים את הרעיון העולה מתוך המסורת היהודית, הלוא הוא חוק לא תעמוד על דם רעך</w:t>
      </w:r>
      <w:r>
        <w:rPr>
          <w:rFonts w:hint="cs"/>
          <w:rtl/>
        </w:rPr>
        <w:t>"</w:t>
      </w:r>
      <w:r w:rsidRPr="005932DC">
        <w:rPr>
          <w:rtl/>
        </w:rPr>
        <w:t>.</w:t>
      </w:r>
      <w:r w:rsidRPr="005932DC">
        <w:rPr>
          <w:vertAlign w:val="superscript"/>
          <w:rtl/>
        </w:rPr>
        <w:footnoteReference w:id="4"/>
      </w:r>
    </w:p>
    <w:p w14:paraId="57A361E2" w14:textId="7E7E6E44" w:rsidR="007F35DF" w:rsidRPr="005932DC" w:rsidRDefault="007F35DF" w:rsidP="007F35DF">
      <w:pPr>
        <w:rPr>
          <w:rtl/>
        </w:rPr>
      </w:pPr>
      <w:r w:rsidRPr="005932DC">
        <w:rPr>
          <w:rtl/>
        </w:rPr>
        <w:t xml:space="preserve">הפרובלמטיקה שבמעבר מהתחום הנזיקי לפלילי </w:t>
      </w:r>
      <w:r>
        <w:rPr>
          <w:rFonts w:hint="cs"/>
          <w:rtl/>
        </w:rPr>
        <w:t>בהקשרי עבירות מחדל נ</w:t>
      </w:r>
      <w:r w:rsidRPr="005932DC">
        <w:rPr>
          <w:rtl/>
        </w:rPr>
        <w:t xml:space="preserve">דונה </w:t>
      </w:r>
      <w:r>
        <w:rPr>
          <w:rFonts w:hint="cs"/>
          <w:rtl/>
        </w:rPr>
        <w:t>בהרחבה בבמות שונות</w:t>
      </w:r>
      <w:r w:rsidRPr="005932DC">
        <w:rPr>
          <w:rtl/>
        </w:rPr>
        <w:t>,</w:t>
      </w:r>
      <w:r w:rsidRPr="005932DC">
        <w:rPr>
          <w:vertAlign w:val="superscript"/>
          <w:rtl/>
        </w:rPr>
        <w:footnoteReference w:id="5"/>
      </w:r>
      <w:r>
        <w:rPr>
          <w:rtl/>
        </w:rPr>
        <w:t xml:space="preserve"> </w:t>
      </w:r>
      <w:r>
        <w:rPr>
          <w:rFonts w:hint="cs"/>
          <w:rtl/>
        </w:rPr>
        <w:t>ו</w:t>
      </w:r>
      <w:r w:rsidRPr="005932DC">
        <w:rPr>
          <w:rtl/>
        </w:rPr>
        <w:t xml:space="preserve">הנחת היסוד של </w:t>
      </w:r>
      <w:r>
        <w:rPr>
          <w:rFonts w:hint="cs"/>
          <w:rtl/>
        </w:rPr>
        <w:t xml:space="preserve">דיונים אלו היא </w:t>
      </w:r>
      <w:r w:rsidRPr="005932DC">
        <w:rPr>
          <w:rtl/>
        </w:rPr>
        <w:t>ש</w:t>
      </w:r>
      <w:r>
        <w:rPr>
          <w:rFonts w:hint="cs"/>
          <w:rtl/>
        </w:rPr>
        <w:t xml:space="preserve">בשונה ממקרים שבהם אדם פעל פעולה אסורה, </w:t>
      </w:r>
      <w:r w:rsidRPr="005932DC">
        <w:rPr>
          <w:rtl/>
        </w:rPr>
        <w:t>קשה לחייב אדם בעבירה פלילית כשזו נעשתה במחדל:</w:t>
      </w:r>
      <w:r>
        <w:rPr>
          <w:rFonts w:hint="cs"/>
          <w:rtl/>
        </w:rPr>
        <w:t xml:space="preserve"> </w:t>
      </w:r>
      <w:r w:rsidRPr="005932DC">
        <w:rPr>
          <w:rtl/>
        </w:rPr>
        <w:t>"עבירת ההפקרה היא עבירה של מחדל, אשר מדיניות משפטית ראויה, מחייבת את צמצומה במשפט הפלילי".</w:t>
      </w:r>
      <w:r w:rsidRPr="005932DC">
        <w:rPr>
          <w:vertAlign w:val="superscript"/>
          <w:rtl/>
        </w:rPr>
        <w:footnoteReference w:id="6"/>
      </w:r>
    </w:p>
    <w:p w14:paraId="31EEF64A" w14:textId="25EE7935" w:rsidR="007F35DF" w:rsidRPr="005932DC" w:rsidRDefault="007F35DF" w:rsidP="00B006CF">
      <w:pPr>
        <w:rPr>
          <w:rtl/>
        </w:rPr>
      </w:pPr>
      <w:r w:rsidRPr="005932DC">
        <w:rPr>
          <w:rtl/>
        </w:rPr>
        <w:t xml:space="preserve">מעבר לעבירות מחדל במקרים </w:t>
      </w:r>
      <w:r w:rsidR="00B006CF">
        <w:rPr>
          <w:rFonts w:hint="cs"/>
          <w:rtl/>
        </w:rPr>
        <w:t xml:space="preserve">שיש </w:t>
      </w:r>
      <w:r w:rsidRPr="005932DC">
        <w:rPr>
          <w:rtl/>
        </w:rPr>
        <w:t xml:space="preserve">לאדם </w:t>
      </w:r>
      <w:r w:rsidRPr="005932DC">
        <w:rPr>
          <w:b/>
          <w:bCs/>
          <w:rtl/>
        </w:rPr>
        <w:t>אחריות</w:t>
      </w:r>
      <w:r w:rsidRPr="005932DC">
        <w:rPr>
          <w:rtl/>
        </w:rPr>
        <w:t xml:space="preserve"> כלפי אדם אחר או שהוא ניצב מולו בעמדת סמכות (</w:t>
      </w:r>
      <w:r w:rsidR="00B006CF">
        <w:rPr>
          <w:rFonts w:hint="cs"/>
          <w:rtl/>
        </w:rPr>
        <w:t xml:space="preserve">ילדיו </w:t>
      </w:r>
      <w:r w:rsidRPr="005932DC">
        <w:rPr>
          <w:rtl/>
        </w:rPr>
        <w:t>של אדם, תלמידיו במוסד חינוכי וכד</w:t>
      </w:r>
      <w:r w:rsidR="00B006CF">
        <w:rPr>
          <w:rFonts w:hint="cs"/>
          <w:rtl/>
        </w:rPr>
        <w:t>ומה</w:t>
      </w:r>
      <w:r w:rsidRPr="005932DC">
        <w:rPr>
          <w:rtl/>
        </w:rPr>
        <w:t>)</w:t>
      </w:r>
      <w:r w:rsidR="00B006CF">
        <w:rPr>
          <w:rFonts w:hint="cs"/>
          <w:rtl/>
        </w:rPr>
        <w:t xml:space="preserve"> ומוטלת עליו </w:t>
      </w:r>
      <w:r w:rsidRPr="005932DC">
        <w:rPr>
          <w:rtl/>
        </w:rPr>
        <w:t>חובה לפעול למען הגנת</w:t>
      </w:r>
      <w:r w:rsidR="00B006CF">
        <w:rPr>
          <w:rFonts w:hint="cs"/>
          <w:rtl/>
        </w:rPr>
        <w:t xml:space="preserve"> </w:t>
      </w:r>
      <w:r w:rsidRPr="005932DC">
        <w:rPr>
          <w:rtl/>
        </w:rPr>
        <w:t xml:space="preserve"> התלוי בו, אנו מוצאים </w:t>
      </w:r>
      <w:r>
        <w:rPr>
          <w:rFonts w:hint="cs"/>
          <w:rtl/>
        </w:rPr>
        <w:t xml:space="preserve">בחוק הישראלי המודרני </w:t>
      </w:r>
      <w:r w:rsidRPr="005932DC">
        <w:rPr>
          <w:rtl/>
        </w:rPr>
        <w:t xml:space="preserve">חריגה אחת בולטת </w:t>
      </w:r>
      <w:r>
        <w:rPr>
          <w:rFonts w:hint="cs"/>
          <w:rtl/>
        </w:rPr>
        <w:t xml:space="preserve">שגם </w:t>
      </w:r>
      <w:proofErr w:type="spellStart"/>
      <w:r>
        <w:rPr>
          <w:rFonts w:hint="cs"/>
          <w:rtl/>
        </w:rPr>
        <w:t>אנגלרד</w:t>
      </w:r>
      <w:proofErr w:type="spellEnd"/>
      <w:r>
        <w:rPr>
          <w:rFonts w:hint="cs"/>
          <w:rtl/>
        </w:rPr>
        <w:t xml:space="preserve"> התייחס אליה </w:t>
      </w:r>
      <w:r>
        <w:rPr>
          <w:rtl/>
        </w:rPr>
        <w:t>–</w:t>
      </w:r>
      <w:r w:rsidRPr="005932DC">
        <w:rPr>
          <w:rtl/>
        </w:rPr>
        <w:t xml:space="preserve"> חוק </w:t>
      </w:r>
      <w:r>
        <w:rPr>
          <w:rFonts w:hint="cs"/>
          <w:rtl/>
        </w:rPr>
        <w:t>'</w:t>
      </w:r>
      <w:r w:rsidRPr="005932DC">
        <w:rPr>
          <w:rtl/>
        </w:rPr>
        <w:t>לא תעמוד על דם רעך</w:t>
      </w:r>
      <w:r>
        <w:rPr>
          <w:rFonts w:hint="cs"/>
          <w:rtl/>
        </w:rPr>
        <w:t>'</w:t>
      </w:r>
      <w:r w:rsidRPr="005932DC">
        <w:rPr>
          <w:rtl/>
        </w:rPr>
        <w:t>.</w:t>
      </w:r>
      <w:r>
        <w:rPr>
          <w:rFonts w:hint="cs"/>
          <w:rtl/>
        </w:rPr>
        <w:t xml:space="preserve"> באופן לא מפתיע, </w:t>
      </w:r>
      <w:r w:rsidRPr="005932DC">
        <w:rPr>
          <w:rtl/>
        </w:rPr>
        <w:t>גם קבלתו של חוק זה</w:t>
      </w:r>
      <w:r>
        <w:rPr>
          <w:rFonts w:hint="cs"/>
          <w:rtl/>
        </w:rPr>
        <w:t xml:space="preserve"> לוותה בהתלבטות אם </w:t>
      </w:r>
      <w:r>
        <w:rPr>
          <w:rFonts w:hint="cs"/>
          <w:rtl/>
        </w:rPr>
        <w:lastRenderedPageBreak/>
        <w:t>ניתן להעניש אדם על כך שלא פעל כמצופה ממנו. כך אמר בכנסת הרב חנן פורת כשהציע הצעת חוק זו</w:t>
      </w:r>
      <w:r w:rsidRPr="005932DC">
        <w:rPr>
          <w:rtl/>
        </w:rPr>
        <w:t>:</w:t>
      </w:r>
    </w:p>
    <w:p w14:paraId="376B50E5" w14:textId="1DB36991" w:rsidR="007F35DF" w:rsidRPr="005932DC" w:rsidRDefault="00B006CF" w:rsidP="00B006CF">
      <w:pPr>
        <w:ind w:left="720"/>
        <w:rPr>
          <w:rtl/>
        </w:rPr>
      </w:pPr>
      <w:r>
        <w:rPr>
          <w:rFonts w:hint="cs"/>
          <w:rtl/>
        </w:rPr>
        <w:t>"</w:t>
      </w:r>
      <w:r w:rsidR="007F35DF" w:rsidRPr="005932DC">
        <w:rPr>
          <w:rtl/>
        </w:rPr>
        <w:t xml:space="preserve">בהצעת החוק הזאת יש העזה מסוימת. אבל היא מצטרפת לכמה הצעות חוק שהתגבשו לאחרונה והן אומרות: לעתים אדם עובר עבירה לא רק בשל מעשה רע שהוא עשה, אלא גם בגלל מחדל. במקרים קיצוניים; כמו המקרה של אדם שחייב להודיע ולדווח כשהוא רואה התעללות בחסרי ישע, כך גם אדם שרואה חבר שנמצא במצוקה ואיננו מושיט לו עזרה, כך גם במקרים נוספים קיצוניים שבהם אדם נדרש, ואם הוא לא עושה </w:t>
      </w:r>
      <w:r w:rsidR="007F35DF">
        <w:rPr>
          <w:rtl/>
        </w:rPr>
        <w:t>–</w:t>
      </w:r>
      <w:r w:rsidR="007F35DF" w:rsidRPr="005932DC">
        <w:rPr>
          <w:rtl/>
        </w:rPr>
        <w:t xml:space="preserve"> הוא עובר על 'לא תעמוד על דם רעך'</w:t>
      </w:r>
      <w:r>
        <w:rPr>
          <w:rFonts w:hint="cs"/>
          <w:rtl/>
        </w:rPr>
        <w:t>"</w:t>
      </w:r>
      <w:r w:rsidR="007F35DF" w:rsidRPr="005932DC">
        <w:rPr>
          <w:rtl/>
        </w:rPr>
        <w:t>.</w:t>
      </w:r>
      <w:r w:rsidR="007F35DF" w:rsidRPr="005932DC">
        <w:rPr>
          <w:vertAlign w:val="superscript"/>
          <w:rtl/>
        </w:rPr>
        <w:footnoteReference w:id="7"/>
      </w:r>
    </w:p>
    <w:p w14:paraId="2B0B3D21" w14:textId="31EF1BB5" w:rsidR="007F35DF" w:rsidRPr="005932DC" w:rsidRDefault="007F35DF" w:rsidP="00B006CF">
      <w:pPr>
        <w:rPr>
          <w:rtl/>
        </w:rPr>
      </w:pPr>
      <w:r w:rsidRPr="005932DC">
        <w:rPr>
          <w:rtl/>
        </w:rPr>
        <w:t xml:space="preserve">אין זה מקרה שדיונים אלו נסבים סביב שאלות של פגיעה ממשית בחייו או בגופו של אדם, </w:t>
      </w:r>
      <w:r>
        <w:rPr>
          <w:rFonts w:hint="cs"/>
          <w:rtl/>
        </w:rPr>
        <w:t xml:space="preserve">שניתן היה </w:t>
      </w:r>
      <w:r w:rsidRPr="005932DC">
        <w:rPr>
          <w:rtl/>
        </w:rPr>
        <w:t>למנוע</w:t>
      </w:r>
      <w:r>
        <w:rPr>
          <w:rFonts w:hint="cs"/>
          <w:rtl/>
        </w:rPr>
        <w:t xml:space="preserve"> אותה</w:t>
      </w:r>
      <w:r w:rsidRPr="005932DC">
        <w:rPr>
          <w:rtl/>
        </w:rPr>
        <w:t>. בשאלות עדינות יותר נמנע המחוקק ככל שניתן מלהעניש על מחדל.</w:t>
      </w:r>
      <w:r>
        <w:rPr>
          <w:rFonts w:hint="cs"/>
          <w:rtl/>
        </w:rPr>
        <w:t xml:space="preserve"> </w:t>
      </w:r>
      <w:r w:rsidRPr="005932DC">
        <w:rPr>
          <w:rtl/>
        </w:rPr>
        <w:t xml:space="preserve">העמדה הבסיסית, המבוטאת בהסתייגויות אלו היא שיש צורך במעשה פסול, </w:t>
      </w:r>
      <w:r w:rsidR="00B006CF">
        <w:rPr>
          <w:rFonts w:hint="cs"/>
          <w:rtl/>
        </w:rPr>
        <w:t>ש</w:t>
      </w:r>
      <w:r w:rsidRPr="005932DC">
        <w:rPr>
          <w:rtl/>
        </w:rPr>
        <w:t xml:space="preserve">בו יואשם העושה אותו, ואשמתו יכולה לגרור בעקבותיה ענישה. בשעה שאדם הפר את החוק בהימנעות מעשייה, אין לו לדיין קרקע מוצקה עליו תתבסס האשמת אותו אדם. אין מעשה פסול </w:t>
      </w:r>
      <w:r>
        <w:rPr>
          <w:rtl/>
        </w:rPr>
        <w:t xml:space="preserve">אשר בעטיו </w:t>
      </w:r>
      <w:r w:rsidR="00B006CF">
        <w:rPr>
          <w:rFonts w:hint="cs"/>
          <w:rtl/>
        </w:rPr>
        <w:t xml:space="preserve">אפשר </w:t>
      </w:r>
      <w:r>
        <w:rPr>
          <w:rtl/>
        </w:rPr>
        <w:t>להעניש את עושהו</w:t>
      </w:r>
      <w:r>
        <w:rPr>
          <w:rFonts w:hint="cs"/>
          <w:rtl/>
        </w:rPr>
        <w:t>.</w:t>
      </w:r>
    </w:p>
    <w:p w14:paraId="7A32C12A" w14:textId="3D06AA19" w:rsidR="00B006CF" w:rsidRDefault="007F35DF" w:rsidP="00B006CF">
      <w:pPr>
        <w:rPr>
          <w:rtl/>
        </w:rPr>
      </w:pPr>
      <w:r>
        <w:rPr>
          <w:rFonts w:hint="cs"/>
          <w:rtl/>
        </w:rPr>
        <w:t xml:space="preserve">יש להסתייג מיצירת זיקה הדוקה בין הדוגמאות המשפטיות שהובאו לעיל </w:t>
      </w:r>
      <w:r w:rsidR="00B006CF">
        <w:rPr>
          <w:rFonts w:hint="cs"/>
          <w:rtl/>
        </w:rPr>
        <w:t>ו</w:t>
      </w:r>
      <w:r>
        <w:rPr>
          <w:rFonts w:hint="cs"/>
          <w:rtl/>
        </w:rPr>
        <w:t>בין ק</w:t>
      </w:r>
      <w:r w:rsidR="00B006CF">
        <w:rPr>
          <w:rFonts w:hint="cs"/>
          <w:rtl/>
        </w:rPr>
        <w:t>ו</w:t>
      </w:r>
      <w:r>
        <w:rPr>
          <w:rFonts w:hint="cs"/>
          <w:rtl/>
        </w:rPr>
        <w:t xml:space="preserve">רבן עולה ויורד. </w:t>
      </w:r>
      <w:r w:rsidRPr="005932DC">
        <w:rPr>
          <w:rtl/>
        </w:rPr>
        <w:t>אי</w:t>
      </w:r>
      <w:r>
        <w:rPr>
          <w:rFonts w:hint="cs"/>
          <w:rtl/>
        </w:rPr>
        <w:t>נ</w:t>
      </w:r>
      <w:r w:rsidRPr="005932DC">
        <w:rPr>
          <w:rtl/>
        </w:rPr>
        <w:t>ני סבור שיש לראות בחיוב קורבן</w:t>
      </w:r>
      <w:r>
        <w:rPr>
          <w:rFonts w:hint="cs"/>
          <w:rtl/>
        </w:rPr>
        <w:t xml:space="preserve"> חטאת אקט של</w:t>
      </w:r>
      <w:r w:rsidRPr="005932DC">
        <w:rPr>
          <w:rtl/>
        </w:rPr>
        <w:t xml:space="preserve"> ענישה. עצם העובדה ש</w:t>
      </w:r>
      <w:r>
        <w:rPr>
          <w:rFonts w:hint="cs"/>
          <w:rtl/>
        </w:rPr>
        <w:t>ה</w:t>
      </w:r>
      <w:r w:rsidRPr="005932DC">
        <w:rPr>
          <w:rtl/>
        </w:rPr>
        <w:t xml:space="preserve">קורבן בא </w:t>
      </w:r>
      <w:r>
        <w:rPr>
          <w:rFonts w:hint="cs"/>
          <w:rtl/>
        </w:rPr>
        <w:t>בעיקר</w:t>
      </w:r>
      <w:r w:rsidRPr="005932DC">
        <w:rPr>
          <w:rtl/>
        </w:rPr>
        <w:t xml:space="preserve"> במקרי שוגג (למעט מקרים חריגים</w:t>
      </w:r>
      <w:r>
        <w:rPr>
          <w:rFonts w:hint="cs"/>
          <w:rtl/>
        </w:rPr>
        <w:t>),</w:t>
      </w:r>
      <w:r w:rsidRPr="005932DC">
        <w:rPr>
          <w:vertAlign w:val="superscript"/>
          <w:rtl/>
        </w:rPr>
        <w:footnoteReference w:id="8"/>
      </w:r>
      <w:r w:rsidRPr="005932DC">
        <w:rPr>
          <w:rtl/>
        </w:rPr>
        <w:t xml:space="preserve"> מוכיח שאין ענייננו בהענשת אדם על מעשהו. דומה כי המינוח "כפרה" </w:t>
      </w:r>
      <w:r>
        <w:rPr>
          <w:rFonts w:hint="cs"/>
          <w:rtl/>
        </w:rPr>
        <w:t xml:space="preserve">או "חיטוי" </w:t>
      </w:r>
      <w:r w:rsidRPr="005932DC">
        <w:rPr>
          <w:rtl/>
        </w:rPr>
        <w:t>מתאים יותר ל</w:t>
      </w:r>
      <w:r>
        <w:rPr>
          <w:rFonts w:hint="cs"/>
          <w:rtl/>
        </w:rPr>
        <w:t>תהליך הבאת הקורבן</w:t>
      </w:r>
      <w:r w:rsidRPr="005932DC">
        <w:rPr>
          <w:rtl/>
        </w:rPr>
        <w:t xml:space="preserve">. עם זאת, אין ספק שלשם הטלת חיוב משפטי על אדם (החובה להביא קורבן), העיקרון הבסיסי המחייב עשייה אקטיבית של החוטא נשאר בעינו. </w:t>
      </w:r>
    </w:p>
    <w:p w14:paraId="6934EFF4" w14:textId="71B5D44D" w:rsidR="007F35DF" w:rsidRPr="005932DC" w:rsidRDefault="007F35DF" w:rsidP="00B006CF">
      <w:pPr>
        <w:rPr>
          <w:rtl/>
        </w:rPr>
      </w:pPr>
      <w:r>
        <w:rPr>
          <w:rFonts w:hint="cs"/>
          <w:rtl/>
        </w:rPr>
        <w:t>דוגמה טובה שמבהירה דבר זה היא טענת חכמים בנוגע לדינו של המגדף</w:t>
      </w:r>
      <w:r w:rsidR="00B006CF">
        <w:rPr>
          <w:rFonts w:hint="cs"/>
          <w:rtl/>
        </w:rPr>
        <w:t>:</w:t>
      </w:r>
      <w:r>
        <w:rPr>
          <w:rFonts w:hint="cs"/>
          <w:rtl/>
        </w:rPr>
        <w:t xml:space="preserve"> </w:t>
      </w:r>
      <w:r w:rsidR="00B006CF">
        <w:rPr>
          <w:rFonts w:hint="cs"/>
          <w:rtl/>
        </w:rPr>
        <w:t xml:space="preserve">אף </w:t>
      </w:r>
      <w:r>
        <w:rPr>
          <w:rFonts w:hint="cs"/>
          <w:rtl/>
        </w:rPr>
        <w:t xml:space="preserve">שהמגדף במזיד חייב כרת, אם גידף בשגגה הוא פטור מלהביא חטאת </w:t>
      </w:r>
      <w:r>
        <w:rPr>
          <w:rtl/>
        </w:rPr>
        <w:t>–</w:t>
      </w:r>
      <w:r>
        <w:rPr>
          <w:rFonts w:hint="cs"/>
          <w:rtl/>
        </w:rPr>
        <w:t xml:space="preserve"> "שאינו עושה מעשה" </w:t>
      </w:r>
      <w:r w:rsidRPr="007F35DF">
        <w:rPr>
          <w:rFonts w:hint="cs"/>
          <w:sz w:val="20"/>
          <w:szCs w:val="20"/>
          <w:rtl/>
        </w:rPr>
        <w:t>(משנה כריתות, פ"א, מ"ב)</w:t>
      </w:r>
      <w:r>
        <w:rPr>
          <w:rFonts w:hint="cs"/>
          <w:rtl/>
        </w:rPr>
        <w:t xml:space="preserve">. חכמים </w:t>
      </w:r>
      <w:r w:rsidR="00B006CF">
        <w:rPr>
          <w:rFonts w:hint="cs"/>
          <w:rtl/>
        </w:rPr>
        <w:t xml:space="preserve">אינם </w:t>
      </w:r>
      <w:r>
        <w:rPr>
          <w:rFonts w:hint="cs"/>
          <w:rtl/>
        </w:rPr>
        <w:t xml:space="preserve">רואים בדיבור "מעשה", </w:t>
      </w:r>
      <w:r w:rsidR="00B006CF">
        <w:rPr>
          <w:rFonts w:hint="cs"/>
          <w:rtl/>
        </w:rPr>
        <w:t xml:space="preserve">ולכן </w:t>
      </w:r>
      <w:r>
        <w:rPr>
          <w:rFonts w:hint="cs"/>
          <w:rtl/>
        </w:rPr>
        <w:t xml:space="preserve">המגדף </w:t>
      </w:r>
      <w:r w:rsidR="00B006CF">
        <w:rPr>
          <w:rFonts w:hint="cs"/>
          <w:rtl/>
        </w:rPr>
        <w:t xml:space="preserve">אינו </w:t>
      </w:r>
      <w:r>
        <w:rPr>
          <w:rFonts w:hint="cs"/>
          <w:rtl/>
        </w:rPr>
        <w:t xml:space="preserve">מתחייב חטאת. לפיכך גם המבטל את הפסח ואת המילה פטור מלהביא חטאת, </w:t>
      </w:r>
      <w:r w:rsidR="00B006CF">
        <w:rPr>
          <w:rFonts w:hint="cs"/>
          <w:rtl/>
        </w:rPr>
        <w:t xml:space="preserve">אף </w:t>
      </w:r>
      <w:r>
        <w:rPr>
          <w:rFonts w:hint="cs"/>
          <w:rtl/>
        </w:rPr>
        <w:t>שאם עשה כך במזיד הוא מתחייב בכרת.</w:t>
      </w:r>
    </w:p>
    <w:p w14:paraId="2EE66318" w14:textId="3F851DB8" w:rsidR="007F35DF" w:rsidRDefault="007F35DF" w:rsidP="00B006CF">
      <w:pPr>
        <w:rPr>
          <w:rtl/>
        </w:rPr>
      </w:pPr>
      <w:r w:rsidRPr="005932DC">
        <w:rPr>
          <w:rtl/>
        </w:rPr>
        <w:t>לאור זאת, בקורבן עולה ויורד</w:t>
      </w:r>
      <w:r w:rsidR="00B006CF">
        <w:rPr>
          <w:rFonts w:hint="cs"/>
          <w:rtl/>
        </w:rPr>
        <w:t xml:space="preserve"> ישנה</w:t>
      </w:r>
      <w:r w:rsidRPr="005932DC">
        <w:rPr>
          <w:rtl/>
        </w:rPr>
        <w:t xml:space="preserve"> הפתעה גדולה </w:t>
      </w:r>
      <w:r w:rsidR="00B006CF">
        <w:rPr>
          <w:rFonts w:hint="cs"/>
          <w:rtl/>
        </w:rPr>
        <w:t xml:space="preserve">בחיוב </w:t>
      </w:r>
      <w:r w:rsidRPr="005932DC">
        <w:rPr>
          <w:rtl/>
        </w:rPr>
        <w:t>האדם להביא קורבן לבית המקדש על הימנעות, על פאסיביות.</w:t>
      </w:r>
      <w:r>
        <w:rPr>
          <w:rStyle w:val="a5"/>
          <w:rFonts w:ascii="David" w:hAnsi="David"/>
          <w:sz w:val="24"/>
          <w:rtl/>
        </w:rPr>
        <w:footnoteReference w:id="9"/>
      </w:r>
      <w:r w:rsidRPr="005932DC">
        <w:rPr>
          <w:rtl/>
        </w:rPr>
        <w:t xml:space="preserve"> ברצוני להדגיש</w:t>
      </w:r>
      <w:r w:rsidR="00B006CF">
        <w:rPr>
          <w:rFonts w:hint="cs"/>
          <w:rtl/>
        </w:rPr>
        <w:t>:</w:t>
      </w:r>
      <w:r w:rsidRPr="005932DC">
        <w:rPr>
          <w:rtl/>
        </w:rPr>
        <w:t xml:space="preserve"> ישנן בתורה דרישות למכביר </w:t>
      </w:r>
      <w:r>
        <w:rPr>
          <w:rtl/>
        </w:rPr>
        <w:t>–</w:t>
      </w:r>
      <w:r w:rsidRPr="005932DC">
        <w:rPr>
          <w:rtl/>
        </w:rPr>
        <w:t xml:space="preserve"> מוסריות ודתיות, וניסוחן אף ניסוח </w:t>
      </w:r>
      <w:proofErr w:type="spellStart"/>
      <w:r w:rsidRPr="005932DC">
        <w:rPr>
          <w:rtl/>
        </w:rPr>
        <w:t>אפודיקטי</w:t>
      </w:r>
      <w:proofErr w:type="spellEnd"/>
      <w:r w:rsidRPr="005932DC">
        <w:rPr>
          <w:rtl/>
        </w:rPr>
        <w:t xml:space="preserve"> מוחלט. אולם בדרך כלל היושב במרום בא בחשבון עם </w:t>
      </w:r>
      <w:r w:rsidRPr="005932DC">
        <w:rPr>
          <w:rFonts w:hint="cs"/>
          <w:rtl/>
        </w:rPr>
        <w:t>מפרי</w:t>
      </w:r>
      <w:r w:rsidRPr="005932DC">
        <w:rPr>
          <w:rtl/>
        </w:rPr>
        <w:t xml:space="preserve"> חוקיו. אין זה מסמכותו של בית הדין או של הכוהנים להעניש את היושב </w:t>
      </w:r>
      <w:r>
        <w:rPr>
          <w:rFonts w:hint="cs"/>
          <w:rtl/>
        </w:rPr>
        <w:t xml:space="preserve">בפאסיביות </w:t>
      </w:r>
      <w:r w:rsidRPr="005932DC">
        <w:rPr>
          <w:rtl/>
        </w:rPr>
        <w:t>ואינו עושה (למעט במקרים מיוחדים וחריגים</w:t>
      </w:r>
      <w:r>
        <w:rPr>
          <w:rFonts w:hint="cs"/>
          <w:rtl/>
        </w:rPr>
        <w:t xml:space="preserve"> שאין </w:t>
      </w:r>
      <w:r w:rsidRPr="005932DC">
        <w:rPr>
          <w:rtl/>
        </w:rPr>
        <w:t xml:space="preserve">כאן המקום לדון בהם). </w:t>
      </w:r>
      <w:r>
        <w:rPr>
          <w:rFonts w:hint="cs"/>
          <w:rtl/>
        </w:rPr>
        <w:t>חטאת</w:t>
      </w:r>
      <w:r w:rsidRPr="005932DC">
        <w:rPr>
          <w:rtl/>
        </w:rPr>
        <w:t xml:space="preserve"> עולה ויורד ניצב</w:t>
      </w:r>
      <w:r>
        <w:rPr>
          <w:rFonts w:hint="cs"/>
          <w:rtl/>
        </w:rPr>
        <w:t>ת</w:t>
      </w:r>
      <w:r w:rsidRPr="005932DC">
        <w:rPr>
          <w:rtl/>
        </w:rPr>
        <w:t xml:space="preserve"> במובן זה כנטע זר בחוק המקראי, </w:t>
      </w:r>
      <w:r>
        <w:rPr>
          <w:rFonts w:hint="cs"/>
          <w:rtl/>
        </w:rPr>
        <w:t xml:space="preserve">בדרישה להביאה </w:t>
      </w:r>
      <w:r w:rsidRPr="005932DC">
        <w:rPr>
          <w:rtl/>
        </w:rPr>
        <w:t>על מחדלי</w:t>
      </w:r>
      <w:r>
        <w:rPr>
          <w:rFonts w:hint="cs"/>
          <w:rtl/>
        </w:rPr>
        <w:t>ם</w:t>
      </w:r>
      <w:r w:rsidRPr="005932DC">
        <w:rPr>
          <w:rtl/>
        </w:rPr>
        <w:t>.</w:t>
      </w:r>
      <w:r w:rsidRPr="005932DC">
        <w:rPr>
          <w:vertAlign w:val="superscript"/>
          <w:rtl/>
        </w:rPr>
        <w:footnoteReference w:id="10"/>
      </w:r>
    </w:p>
    <w:p w14:paraId="5774686F" w14:textId="77777777" w:rsidR="007F35DF" w:rsidRPr="005932DC" w:rsidRDefault="007F35DF" w:rsidP="007F35DF">
      <w:pPr>
        <w:rPr>
          <w:rtl/>
        </w:rPr>
      </w:pPr>
    </w:p>
    <w:p w14:paraId="27D74690" w14:textId="238768E3" w:rsidR="007F35DF" w:rsidRPr="005932DC" w:rsidRDefault="007F35DF" w:rsidP="00B006CF">
      <w:pPr>
        <w:rPr>
          <w:rtl/>
        </w:rPr>
      </w:pPr>
      <w:r w:rsidRPr="005932DC">
        <w:rPr>
          <w:rtl/>
        </w:rPr>
        <w:t>דומ</w:t>
      </w:r>
      <w:r>
        <w:rPr>
          <w:rFonts w:hint="cs"/>
          <w:rtl/>
        </w:rPr>
        <w:t>ה</w:t>
      </w:r>
      <w:r w:rsidRPr="005932DC">
        <w:rPr>
          <w:rtl/>
        </w:rPr>
        <w:t xml:space="preserve"> שבשל כך ישנה הקלה מסוימת עם החוטא</w:t>
      </w:r>
      <w:r>
        <w:rPr>
          <w:rFonts w:hint="cs"/>
          <w:rtl/>
        </w:rPr>
        <w:t xml:space="preserve"> בעבירות אלו</w:t>
      </w:r>
      <w:r w:rsidRPr="005932DC">
        <w:rPr>
          <w:rtl/>
        </w:rPr>
        <w:t xml:space="preserve">, ואם אין באפשרותו הכלכלית לקנות שעירה או כבשה, הוא יכול להביא קורבן זול יותר. הבעייתיות שביסוד החיוב במקרים הללו, מקרינה מדרך הטבע גם על תוצאת החטא </w:t>
      </w:r>
      <w:r>
        <w:rPr>
          <w:rtl/>
        </w:rPr>
        <w:t>–</w:t>
      </w:r>
      <w:r w:rsidRPr="005932DC">
        <w:rPr>
          <w:rtl/>
        </w:rPr>
        <w:t xml:space="preserve"> הפגיעה במשכן. כל חטא פוגע בהשראת השכינה בישראל, אך חטא הנעשה בידיים חמור יותר, במובן זה, </w:t>
      </w:r>
      <w:r>
        <w:rPr>
          <w:rFonts w:hint="cs"/>
          <w:rtl/>
        </w:rPr>
        <w:t xml:space="preserve">מאי עשייה </w:t>
      </w:r>
      <w:r w:rsidR="00B006CF">
        <w:rPr>
          <w:rFonts w:hint="cs"/>
          <w:rtl/>
        </w:rPr>
        <w:t>ו</w:t>
      </w:r>
      <w:r w:rsidRPr="005932DC">
        <w:rPr>
          <w:rtl/>
        </w:rPr>
        <w:t>ממחדל. בשל פגיעתו הפחותה בהשראת השכינה בישראל, הקל עמו הכתוב.</w:t>
      </w:r>
    </w:p>
    <w:p w14:paraId="08BACCCC" w14:textId="1CCF94B3" w:rsidR="007F35DF" w:rsidRDefault="007F35DF" w:rsidP="007F35DF">
      <w:pPr>
        <w:rPr>
          <w:rtl/>
        </w:rPr>
      </w:pPr>
      <w:r w:rsidRPr="005932DC">
        <w:rPr>
          <w:rtl/>
        </w:rPr>
        <w:t xml:space="preserve">אולם עדיין עלינו לברר מדוע נבחרו דווקא מקרי מחדל אלו? </w:t>
      </w:r>
      <w:r>
        <w:rPr>
          <w:rFonts w:hint="cs"/>
          <w:rtl/>
        </w:rPr>
        <w:t xml:space="preserve">הרי יש מצוות עשה רבות ובכל פעם שאדם לא פעל כאשר הצטווה הוא עבר על דבר מה במחדלו ובפסיביות שלו. דומני שבנקודה זו אנו מגיעים לבעיה המרכזית שמשתפת את שלושת המקרים הנידונים: האדם שחטא באחת מהעבירות המנויות בפרק גרם לפגיעה ישירה או עקיפה בקודש; במחדלו הוא גרם לחילול השם ולפגיעה בהשראת שכינה בישראל. </w:t>
      </w:r>
    </w:p>
    <w:p w14:paraId="19F60169" w14:textId="77777777" w:rsidR="00B006CF" w:rsidRDefault="00B006CF" w:rsidP="007F35DF">
      <w:pPr>
        <w:rPr>
          <w:rtl/>
        </w:rPr>
      </w:pPr>
    </w:p>
    <w:p w14:paraId="014F505B" w14:textId="26CB38FE" w:rsidR="007F35DF" w:rsidRDefault="007F35DF" w:rsidP="00B006CF">
      <w:pPr>
        <w:rPr>
          <w:rtl/>
        </w:rPr>
      </w:pPr>
      <w:r>
        <w:rPr>
          <w:rFonts w:hint="cs"/>
          <w:rtl/>
        </w:rPr>
        <w:t xml:space="preserve">נפתח במקרה הראשון שבו הדבר ברור. יש לשים לב שאין מדובר </w:t>
      </w:r>
      <w:r w:rsidR="00B006CF">
        <w:rPr>
          <w:rFonts w:hint="cs"/>
          <w:rtl/>
        </w:rPr>
        <w:t>ב</w:t>
      </w:r>
      <w:r>
        <w:rPr>
          <w:rFonts w:hint="cs"/>
          <w:rtl/>
        </w:rPr>
        <w:t xml:space="preserve">אדם שלא הלך להעיד. במקרה כזה </w:t>
      </w:r>
      <w:r w:rsidR="00B006CF">
        <w:rPr>
          <w:rFonts w:hint="cs"/>
          <w:rtl/>
        </w:rPr>
        <w:t xml:space="preserve">אכן אין חיוב </w:t>
      </w:r>
      <w:r>
        <w:rPr>
          <w:rFonts w:hint="cs"/>
          <w:rtl/>
        </w:rPr>
        <w:t>ק</w:t>
      </w:r>
      <w:r w:rsidR="00B006CF">
        <w:rPr>
          <w:rFonts w:hint="cs"/>
          <w:rtl/>
        </w:rPr>
        <w:t>ו</w:t>
      </w:r>
      <w:r>
        <w:rPr>
          <w:rFonts w:hint="cs"/>
          <w:rtl/>
        </w:rPr>
        <w:t>רבן (גם אם הוא לא נהג כראוי). הכתוב מדגיש שהק</w:t>
      </w:r>
      <w:r w:rsidR="00B006CF">
        <w:rPr>
          <w:rFonts w:hint="cs"/>
          <w:rtl/>
        </w:rPr>
        <w:t>ו</w:t>
      </w:r>
      <w:r>
        <w:rPr>
          <w:rFonts w:hint="cs"/>
          <w:rtl/>
        </w:rPr>
        <w:t xml:space="preserve">רבן נצרך בעבירה זו </w:t>
      </w:r>
      <w:r w:rsidR="00B006CF">
        <w:rPr>
          <w:rFonts w:hint="cs"/>
          <w:rtl/>
        </w:rPr>
        <w:t xml:space="preserve">כי </w:t>
      </w:r>
      <w:r>
        <w:rPr>
          <w:rFonts w:hint="cs"/>
          <w:rtl/>
        </w:rPr>
        <w:t xml:space="preserve">אותו אדם </w:t>
      </w:r>
      <w:r w:rsidR="00B006CF">
        <w:rPr>
          <w:rFonts w:hint="cs"/>
          <w:rtl/>
        </w:rPr>
        <w:t xml:space="preserve">שאינו </w:t>
      </w:r>
      <w:r>
        <w:rPr>
          <w:rFonts w:hint="cs"/>
          <w:rtl/>
        </w:rPr>
        <w:t xml:space="preserve">מעיד שמע קול אלה, כלומר שמע שבועה בשם ה' ולמרות זאת לא העיד כנדרש. </w:t>
      </w:r>
      <w:r w:rsidRPr="005932DC">
        <w:rPr>
          <w:rtl/>
        </w:rPr>
        <w:t>בין אם מדובר בהשבעה אישית (רש"י) ובין אם מדובר בהשבעה כללית (</w:t>
      </w:r>
      <w:proofErr w:type="spellStart"/>
      <w:r w:rsidRPr="005932DC">
        <w:rPr>
          <w:rtl/>
        </w:rPr>
        <w:t>ראב"ע</w:t>
      </w:r>
      <w:proofErr w:type="spellEnd"/>
      <w:r w:rsidRPr="005932DC">
        <w:rPr>
          <w:rtl/>
        </w:rPr>
        <w:t xml:space="preserve">), שם ה' שהוזכר בשבועה זו מתחלל באי מתן עדותו. </w:t>
      </w:r>
    </w:p>
    <w:p w14:paraId="5ACA66E8" w14:textId="77777777" w:rsidR="007F35DF" w:rsidRDefault="007F35DF" w:rsidP="007F35DF">
      <w:pPr>
        <w:rPr>
          <w:rtl/>
        </w:rPr>
      </w:pPr>
      <w:r>
        <w:rPr>
          <w:rFonts w:hint="cs"/>
          <w:rtl/>
        </w:rPr>
        <w:t>דבר דומה מתרחש במקרה השלישי. גם שם, בפאסיביות שלו, ה</w:t>
      </w:r>
      <w:r w:rsidRPr="005932DC">
        <w:rPr>
          <w:rtl/>
        </w:rPr>
        <w:t xml:space="preserve">אדם מפר התחייבות שקיבל על </w:t>
      </w:r>
      <w:r w:rsidRPr="005932DC">
        <w:rPr>
          <w:rtl/>
        </w:rPr>
        <w:lastRenderedPageBreak/>
        <w:t>עצמו</w:t>
      </w:r>
      <w:r>
        <w:rPr>
          <w:rFonts w:hint="cs"/>
          <w:rtl/>
        </w:rPr>
        <w:t xml:space="preserve"> בשבועה</w:t>
      </w:r>
      <w:r w:rsidRPr="005932DC">
        <w:rPr>
          <w:rtl/>
        </w:rPr>
        <w:t>, כלומר בשם ה', ו</w:t>
      </w:r>
      <w:r>
        <w:rPr>
          <w:rFonts w:hint="cs"/>
          <w:rtl/>
        </w:rPr>
        <w:t>ב</w:t>
      </w:r>
      <w:r w:rsidRPr="005932DC">
        <w:rPr>
          <w:rtl/>
        </w:rPr>
        <w:t>הפרת התחייבות</w:t>
      </w:r>
      <w:r>
        <w:rPr>
          <w:rFonts w:hint="cs"/>
          <w:rtl/>
        </w:rPr>
        <w:t xml:space="preserve">ו הוא מחלל </w:t>
      </w:r>
      <w:r w:rsidRPr="005932DC">
        <w:rPr>
          <w:rtl/>
        </w:rPr>
        <w:t xml:space="preserve">את שם ה'. </w:t>
      </w:r>
    </w:p>
    <w:p w14:paraId="21DAC6CC" w14:textId="4CD7D663" w:rsidR="007F35DF" w:rsidRPr="005932DC" w:rsidRDefault="007F35DF" w:rsidP="0067070B">
      <w:pPr>
        <w:rPr>
          <w:rtl/>
        </w:rPr>
      </w:pPr>
      <w:r w:rsidRPr="005932DC">
        <w:rPr>
          <w:rtl/>
        </w:rPr>
        <w:t>אין צורך לומר ש</w:t>
      </w:r>
      <w:r>
        <w:rPr>
          <w:rFonts w:hint="cs"/>
          <w:rtl/>
        </w:rPr>
        <w:t xml:space="preserve">גם </w:t>
      </w:r>
      <w:r w:rsidRPr="005932DC">
        <w:rPr>
          <w:rtl/>
        </w:rPr>
        <w:t xml:space="preserve">במקרה השני ישנה פגיעה ישירה בהשראת השכינה בישראל, </w:t>
      </w:r>
      <w:r>
        <w:rPr>
          <w:rFonts w:hint="cs"/>
          <w:rtl/>
        </w:rPr>
        <w:t>שהרי האדם שלא נטהר מוסיף בכך טומאה במחנה ובכל יום שעובר וטומאתו עליו נוספת טומאה נוספת</w:t>
      </w:r>
      <w:r w:rsidR="0067070B">
        <w:rPr>
          <w:rFonts w:hint="cs"/>
          <w:rtl/>
        </w:rPr>
        <w:t>,</w:t>
      </w:r>
      <w:r>
        <w:rPr>
          <w:rFonts w:hint="cs"/>
          <w:rtl/>
        </w:rPr>
        <w:t xml:space="preserve"> </w:t>
      </w:r>
      <w:r w:rsidR="0067070B">
        <w:rPr>
          <w:rFonts w:hint="cs"/>
          <w:rtl/>
        </w:rPr>
        <w:t xml:space="preserve">וזו </w:t>
      </w:r>
      <w:r>
        <w:rPr>
          <w:rFonts w:hint="cs"/>
          <w:rtl/>
        </w:rPr>
        <w:t xml:space="preserve">מסכנת את השראת השכינה בישראל. </w:t>
      </w:r>
    </w:p>
    <w:p w14:paraId="6109505B" w14:textId="4894D126" w:rsidR="007F35DF" w:rsidRDefault="007F35DF" w:rsidP="0067070B">
      <w:pPr>
        <w:rPr>
          <w:rtl/>
        </w:rPr>
      </w:pPr>
      <w:r>
        <w:rPr>
          <w:rFonts w:hint="cs"/>
          <w:rtl/>
        </w:rPr>
        <w:t xml:space="preserve">ניתן </w:t>
      </w:r>
      <w:r w:rsidR="0067070B">
        <w:rPr>
          <w:rFonts w:hint="cs"/>
          <w:rtl/>
        </w:rPr>
        <w:t xml:space="preserve">אפוא </w:t>
      </w:r>
      <w:r>
        <w:rPr>
          <w:rFonts w:hint="cs"/>
          <w:rtl/>
        </w:rPr>
        <w:t>לסכם ש</w:t>
      </w:r>
      <w:r w:rsidRPr="005932DC">
        <w:rPr>
          <w:rtl/>
        </w:rPr>
        <w:t xml:space="preserve">שלושת </w:t>
      </w:r>
      <w:r>
        <w:rPr>
          <w:rFonts w:hint="cs"/>
          <w:rtl/>
        </w:rPr>
        <w:t>ה</w:t>
      </w:r>
      <w:r w:rsidRPr="005932DC">
        <w:rPr>
          <w:rtl/>
        </w:rPr>
        <w:t xml:space="preserve">מקרים </w:t>
      </w:r>
      <w:r>
        <w:rPr>
          <w:rFonts w:hint="cs"/>
          <w:rtl/>
        </w:rPr>
        <w:t xml:space="preserve">הללו </w:t>
      </w:r>
      <w:r w:rsidRPr="005932DC">
        <w:rPr>
          <w:rtl/>
        </w:rPr>
        <w:t xml:space="preserve">מתייחדים בכך </w:t>
      </w:r>
      <w:r w:rsidR="0067070B">
        <w:rPr>
          <w:rFonts w:hint="cs"/>
          <w:rtl/>
        </w:rPr>
        <w:t xml:space="preserve">שאף </w:t>
      </w:r>
      <w:r>
        <w:rPr>
          <w:rFonts w:hint="cs"/>
          <w:rtl/>
        </w:rPr>
        <w:t xml:space="preserve">שהאדם לא פעל בהם ולא עשה מעשה איסור, באי עשייתו הוא פגע בהשראת שכינה בישראל ועל כן עליו להביא חטאת ולחטא את המזבח. במקרים אלו </w:t>
      </w:r>
      <w:r w:rsidR="0067070B">
        <w:rPr>
          <w:rFonts w:hint="cs"/>
          <w:rtl/>
        </w:rPr>
        <w:t xml:space="preserve">היה </w:t>
      </w:r>
      <w:r>
        <w:rPr>
          <w:rFonts w:hint="cs"/>
          <w:rtl/>
        </w:rPr>
        <w:t xml:space="preserve">עליו לפעול לאור דבר מה שהתרחש בשלב מוקדם: להעיד לאחר ששמע קול אלה; להיטהר לאחר שנטמא; ולקיים את שבועתו שנאמרה בשם ה'. מחדלו </w:t>
      </w:r>
      <w:r w:rsidRPr="005932DC">
        <w:rPr>
          <w:rtl/>
        </w:rPr>
        <w:t>פגע, בדרך זו או אחרת, בשם ה'</w:t>
      </w:r>
      <w:r>
        <w:rPr>
          <w:rFonts w:hint="cs"/>
          <w:rtl/>
        </w:rPr>
        <w:t xml:space="preserve"> ובהשראת שכינתו. זהו </w:t>
      </w:r>
      <w:r w:rsidRPr="005932DC">
        <w:rPr>
          <w:rtl/>
        </w:rPr>
        <w:t>חיוב על מחדל, שאינו אלא עשייה באפס מעשה.</w:t>
      </w:r>
    </w:p>
    <w:p w14:paraId="3D5CA181" w14:textId="77777777" w:rsidR="007F35DF" w:rsidRDefault="007F35DF" w:rsidP="007F35DF">
      <w:pPr>
        <w:rPr>
          <w:rtl/>
        </w:rPr>
      </w:pPr>
    </w:p>
    <w:p w14:paraId="25ACA1AA" w14:textId="77777777" w:rsidR="007F35DF" w:rsidRDefault="007F35DF" w:rsidP="007F35DF">
      <w:pPr>
        <w:rPr>
          <w:rtl/>
        </w:rPr>
      </w:pPr>
      <w:r>
        <w:rPr>
          <w:rFonts w:hint="cs"/>
          <w:rtl/>
        </w:rPr>
        <w:t>לפני שנפנה לראות כמה מן ההשלכות שיש להבנה זו על פרטי דינים אחרים שמשולבים בקורבן זה (במיוחד דין הווידוי) אני מבקש להצביע על הסגנון הספרותי של חתימות שלושת המקרים שמלמד גם על ההבדל ביניהם:</w:t>
      </w:r>
    </w:p>
    <w:p w14:paraId="6AC2BB64" w14:textId="14E3A5D9" w:rsidR="007F35DF" w:rsidRDefault="007F35DF" w:rsidP="007F35DF">
      <w:pPr>
        <w:ind w:left="720"/>
      </w:pPr>
      <w:r w:rsidRPr="007F35DF">
        <w:rPr>
          <w:rFonts w:hint="cs"/>
          <w:b/>
          <w:bCs/>
          <w:rtl/>
        </w:rPr>
        <w:t>1.</w:t>
      </w:r>
      <w:r>
        <w:rPr>
          <w:rFonts w:hint="cs"/>
          <w:rtl/>
        </w:rPr>
        <w:t xml:space="preserve"> </w:t>
      </w:r>
      <w:r w:rsidRPr="00053E08">
        <w:rPr>
          <w:rFonts w:hint="cs"/>
          <w:rtl/>
        </w:rPr>
        <w:t xml:space="preserve">אי מסירת עדות </w:t>
      </w:r>
      <w:r w:rsidRPr="00053E08">
        <w:rPr>
          <w:rtl/>
        </w:rPr>
        <w:t>–</w:t>
      </w:r>
      <w:r w:rsidRPr="00053E08">
        <w:rPr>
          <w:rFonts w:hint="cs"/>
          <w:rtl/>
        </w:rPr>
        <w:t xml:space="preserve"> "אִם</w:t>
      </w:r>
      <w:r w:rsidRPr="00053E08">
        <w:rPr>
          <w:rtl/>
        </w:rPr>
        <w:t xml:space="preserve"> </w:t>
      </w:r>
      <w:proofErr w:type="spellStart"/>
      <w:r w:rsidRPr="00053E08">
        <w:rPr>
          <w:rFonts w:hint="cs"/>
          <w:rtl/>
        </w:rPr>
        <w:t>לוֹא</w:t>
      </w:r>
      <w:proofErr w:type="spellEnd"/>
      <w:r w:rsidRPr="00053E08">
        <w:rPr>
          <w:rtl/>
        </w:rPr>
        <w:t xml:space="preserve"> </w:t>
      </w:r>
      <w:r w:rsidRPr="00053E08">
        <w:rPr>
          <w:rFonts w:hint="cs"/>
          <w:rtl/>
        </w:rPr>
        <w:t>יַגִּיד</w:t>
      </w:r>
      <w:r w:rsidRPr="00053E08">
        <w:rPr>
          <w:rtl/>
        </w:rPr>
        <w:t xml:space="preserve"> </w:t>
      </w:r>
      <w:r w:rsidRPr="00053E08">
        <w:rPr>
          <w:rFonts w:hint="cs"/>
          <w:rtl/>
        </w:rPr>
        <w:t>וְנָשָׂא</w:t>
      </w:r>
      <w:r w:rsidRPr="00053E08">
        <w:rPr>
          <w:rtl/>
        </w:rPr>
        <w:t xml:space="preserve"> </w:t>
      </w:r>
      <w:r w:rsidRPr="00053E08">
        <w:rPr>
          <w:rFonts w:hint="cs"/>
          <w:rtl/>
        </w:rPr>
        <w:t xml:space="preserve">עֲוֹנוֹ" </w:t>
      </w:r>
      <w:r w:rsidRPr="0067070B">
        <w:rPr>
          <w:rFonts w:hint="cs"/>
          <w:sz w:val="20"/>
          <w:szCs w:val="20"/>
          <w:rtl/>
        </w:rPr>
        <w:t>(ה', א)</w:t>
      </w:r>
      <w:r w:rsidRPr="00053E08">
        <w:rPr>
          <w:rFonts w:hint="cs"/>
          <w:rtl/>
        </w:rPr>
        <w:t>.</w:t>
      </w:r>
    </w:p>
    <w:p w14:paraId="341B3AF2" w14:textId="7400A6A6" w:rsidR="007F35DF" w:rsidRPr="00053E08" w:rsidRDefault="007F35DF" w:rsidP="007F35DF">
      <w:pPr>
        <w:ind w:left="720"/>
        <w:rPr>
          <w:rtl/>
        </w:rPr>
      </w:pPr>
      <w:r w:rsidRPr="007F35DF">
        <w:rPr>
          <w:rFonts w:hint="cs"/>
          <w:b/>
          <w:bCs/>
          <w:rtl/>
        </w:rPr>
        <w:t>2.</w:t>
      </w:r>
      <w:r>
        <w:rPr>
          <w:rFonts w:hint="cs"/>
          <w:rtl/>
        </w:rPr>
        <w:t xml:space="preserve"> </w:t>
      </w:r>
      <w:r w:rsidRPr="00053E08">
        <w:rPr>
          <w:rFonts w:hint="cs"/>
          <w:rtl/>
        </w:rPr>
        <w:t xml:space="preserve">אי היטהרות מטומאת בעלי חיים </w:t>
      </w:r>
      <w:r w:rsidRPr="00053E08">
        <w:rPr>
          <w:rtl/>
        </w:rPr>
        <w:t>–</w:t>
      </w:r>
      <w:r w:rsidRPr="00053E08">
        <w:rPr>
          <w:rFonts w:hint="cs"/>
          <w:rtl/>
        </w:rPr>
        <w:t xml:space="preserve"> "</w:t>
      </w:r>
      <w:r w:rsidRPr="00053E08">
        <w:rPr>
          <w:rtl/>
        </w:rPr>
        <w:t>וְנֶעְלַם מִמֶּנּוּ וְהוּא טָמֵא וְאָשֵׁם</w:t>
      </w:r>
      <w:r w:rsidRPr="00053E08">
        <w:rPr>
          <w:rFonts w:hint="cs"/>
          <w:rtl/>
        </w:rPr>
        <w:t xml:space="preserve">" </w:t>
      </w:r>
      <w:r w:rsidRPr="0067070B">
        <w:rPr>
          <w:rFonts w:hint="cs"/>
          <w:sz w:val="20"/>
          <w:szCs w:val="20"/>
          <w:rtl/>
        </w:rPr>
        <w:t>(ב)</w:t>
      </w:r>
      <w:r w:rsidR="0067070B">
        <w:rPr>
          <w:rFonts w:hint="cs"/>
          <w:rtl/>
        </w:rPr>
        <w:t>.</w:t>
      </w:r>
    </w:p>
    <w:p w14:paraId="13B12D35" w14:textId="77777777" w:rsidR="007F35DF" w:rsidRPr="00053E08" w:rsidRDefault="007F35DF" w:rsidP="007F35DF">
      <w:pPr>
        <w:ind w:left="720"/>
        <w:rPr>
          <w:rtl/>
        </w:rPr>
      </w:pPr>
      <w:r w:rsidRPr="00053E08">
        <w:rPr>
          <w:rFonts w:hint="cs"/>
          <w:rtl/>
        </w:rPr>
        <w:t xml:space="preserve">אי היטהרות מטומאת אדם </w:t>
      </w:r>
      <w:r w:rsidRPr="00053E08">
        <w:rPr>
          <w:rtl/>
        </w:rPr>
        <w:t>–</w:t>
      </w:r>
      <w:r w:rsidRPr="00053E08">
        <w:rPr>
          <w:rFonts w:hint="cs"/>
          <w:rtl/>
        </w:rPr>
        <w:t xml:space="preserve"> "</w:t>
      </w:r>
      <w:r w:rsidRPr="00053E08">
        <w:rPr>
          <w:rtl/>
        </w:rPr>
        <w:t>וְנֶעְלַם מִמֶּנּוּ וְהוּא יָדַע וְאָשֵׁם</w:t>
      </w:r>
      <w:r w:rsidRPr="00053E08">
        <w:rPr>
          <w:rFonts w:hint="cs"/>
          <w:rtl/>
        </w:rPr>
        <w:t xml:space="preserve">" </w:t>
      </w:r>
      <w:r w:rsidRPr="0067070B">
        <w:rPr>
          <w:rFonts w:hint="cs"/>
          <w:sz w:val="20"/>
          <w:szCs w:val="20"/>
          <w:rtl/>
        </w:rPr>
        <w:t>(ג)</w:t>
      </w:r>
      <w:r w:rsidRPr="00053E08">
        <w:rPr>
          <w:rFonts w:hint="cs"/>
          <w:rtl/>
        </w:rPr>
        <w:t>.</w:t>
      </w:r>
    </w:p>
    <w:p w14:paraId="0F20152F" w14:textId="1B434BA1" w:rsidR="007F35DF" w:rsidRPr="00053E08" w:rsidRDefault="007F35DF" w:rsidP="007F35DF">
      <w:pPr>
        <w:ind w:left="720"/>
        <w:rPr>
          <w:rtl/>
        </w:rPr>
      </w:pPr>
      <w:r w:rsidRPr="007F35DF">
        <w:rPr>
          <w:rFonts w:hint="cs"/>
          <w:b/>
          <w:bCs/>
          <w:rtl/>
        </w:rPr>
        <w:t>3.</w:t>
      </w:r>
      <w:r>
        <w:rPr>
          <w:rFonts w:hint="cs"/>
          <w:rtl/>
        </w:rPr>
        <w:t xml:space="preserve"> </w:t>
      </w:r>
      <w:r w:rsidRPr="00053E08">
        <w:rPr>
          <w:rFonts w:hint="cs"/>
          <w:rtl/>
        </w:rPr>
        <w:t xml:space="preserve">אי קיום שבועה </w:t>
      </w:r>
      <w:r w:rsidRPr="00053E08">
        <w:rPr>
          <w:rtl/>
        </w:rPr>
        <w:t>–</w:t>
      </w:r>
      <w:r w:rsidRPr="00053E08">
        <w:rPr>
          <w:rFonts w:hint="cs"/>
          <w:rtl/>
        </w:rPr>
        <w:t xml:space="preserve"> "</w:t>
      </w:r>
      <w:r w:rsidRPr="00053E08">
        <w:rPr>
          <w:rtl/>
        </w:rPr>
        <w:t>וְנֶעְלַם מִמֶּנּוּ</w:t>
      </w:r>
      <w:r w:rsidRPr="00053E08">
        <w:rPr>
          <w:rFonts w:hint="cs"/>
          <w:rtl/>
        </w:rPr>
        <w:t xml:space="preserve"> </w:t>
      </w:r>
      <w:r w:rsidRPr="00053E08">
        <w:rPr>
          <w:rtl/>
        </w:rPr>
        <w:t>וְהוּא יָדַע וְאָשֵׁם לְאַחַת מֵאֵלֶּה</w:t>
      </w:r>
      <w:r w:rsidRPr="00053E08">
        <w:rPr>
          <w:rFonts w:hint="cs"/>
          <w:rtl/>
        </w:rPr>
        <w:t xml:space="preserve">" </w:t>
      </w:r>
      <w:r w:rsidRPr="0067070B">
        <w:rPr>
          <w:rFonts w:hint="cs"/>
          <w:sz w:val="20"/>
          <w:szCs w:val="20"/>
          <w:rtl/>
        </w:rPr>
        <w:t>(ד)</w:t>
      </w:r>
      <w:r w:rsidRPr="00053E08">
        <w:rPr>
          <w:rFonts w:hint="cs"/>
          <w:rtl/>
        </w:rPr>
        <w:t>.</w:t>
      </w:r>
    </w:p>
    <w:p w14:paraId="5CD97820" w14:textId="3B555744" w:rsidR="007F35DF" w:rsidRDefault="007F35DF" w:rsidP="00017E6D">
      <w:pPr>
        <w:rPr>
          <w:rtl/>
        </w:rPr>
      </w:pPr>
      <w:r>
        <w:rPr>
          <w:rFonts w:hint="cs"/>
          <w:rtl/>
        </w:rPr>
        <w:t xml:space="preserve">כמה דברים מעניינים נחשפים מבעד לחתימות המשתנות הללו. ראשית, ניכר שבמקרה הראשון לא נאמר </w:t>
      </w:r>
      <w:r>
        <w:rPr>
          <w:rtl/>
        </w:rPr>
        <w:t>–</w:t>
      </w:r>
      <w:r>
        <w:rPr>
          <w:rFonts w:hint="cs"/>
          <w:rtl/>
        </w:rPr>
        <w:t xml:space="preserve"> כפי שנאמר בכל האחרים </w:t>
      </w:r>
      <w:r>
        <w:rPr>
          <w:rtl/>
        </w:rPr>
        <w:t>–</w:t>
      </w:r>
      <w:r>
        <w:rPr>
          <w:rFonts w:hint="cs"/>
          <w:rtl/>
        </w:rPr>
        <w:t xml:space="preserve"> "ונעלם ממנו". הדבר כמובן נובע מעצם סיפור המעשה של מקרה זה. לא מדובר בשגגה שנעלמה מתודעת האדם אלא במזיד. כפי שכבר הערתי, </w:t>
      </w:r>
      <w:r w:rsidR="00017E6D">
        <w:rPr>
          <w:rFonts w:hint="cs"/>
          <w:rtl/>
        </w:rPr>
        <w:t xml:space="preserve">אף </w:t>
      </w:r>
      <w:r>
        <w:rPr>
          <w:rFonts w:hint="cs"/>
          <w:rtl/>
        </w:rPr>
        <w:t xml:space="preserve">שמדובר במזיד, מצד הפגיעה במשכן חטא זה קל ממקרי שגגה רגילים, מפני שאדם זה לא פעל פעולת איסור אלא נשאר בביתו והתעלם מהחובה </w:t>
      </w:r>
      <w:r w:rsidR="00017E6D">
        <w:rPr>
          <w:rFonts w:hint="cs"/>
          <w:rtl/>
        </w:rPr>
        <w:t>שהונחה לפתחו</w:t>
      </w:r>
      <w:r>
        <w:rPr>
          <w:rFonts w:hint="cs"/>
          <w:rtl/>
        </w:rPr>
        <w:t>. אולם מאחר שמדובר במזיד, ניתן להבין מדוע התורה חרגה בחתימה זו וכתבה "</w:t>
      </w:r>
      <w:r w:rsidRPr="00053E08">
        <w:rPr>
          <w:rFonts w:hint="cs"/>
          <w:rtl/>
        </w:rPr>
        <w:t>וְנָשָׂא</w:t>
      </w:r>
      <w:r w:rsidRPr="00053E08">
        <w:rPr>
          <w:rtl/>
        </w:rPr>
        <w:t xml:space="preserve"> </w:t>
      </w:r>
      <w:r w:rsidRPr="00053E08">
        <w:rPr>
          <w:rFonts w:hint="cs"/>
          <w:rtl/>
        </w:rPr>
        <w:t>עֲוֹנוֹ</w:t>
      </w:r>
      <w:r>
        <w:rPr>
          <w:rFonts w:hint="cs"/>
          <w:rtl/>
        </w:rPr>
        <w:t>"</w:t>
      </w:r>
      <w:r w:rsidR="00017E6D">
        <w:rPr>
          <w:rFonts w:hint="cs"/>
          <w:rtl/>
        </w:rPr>
        <w:t>,</w:t>
      </w:r>
      <w:r>
        <w:rPr>
          <w:rFonts w:hint="cs"/>
          <w:rtl/>
        </w:rPr>
        <w:t xml:space="preserve"> ולא רק "</w:t>
      </w:r>
      <w:r w:rsidRPr="00053E08">
        <w:rPr>
          <w:rtl/>
        </w:rPr>
        <w:t>וְאָשֵׁם</w:t>
      </w:r>
      <w:r>
        <w:rPr>
          <w:rFonts w:hint="cs"/>
          <w:rtl/>
        </w:rPr>
        <w:t xml:space="preserve">" כפי שכתוב במקרים האחרים. הצירוף 'לשאת עוון' הוא צירוף דו-משמעי. לעתים הוא </w:t>
      </w:r>
      <w:r>
        <w:rPr>
          <w:rFonts w:hint="cs"/>
          <w:rtl/>
        </w:rPr>
        <w:t>מכוון דווקא לסליחה ולכפרה (כמו: "</w:t>
      </w:r>
      <w:r w:rsidRPr="00053E08">
        <w:rPr>
          <w:rFonts w:hint="cs"/>
          <w:rtl/>
        </w:rPr>
        <w:t>נֹשֵׂא</w:t>
      </w:r>
      <w:r w:rsidRPr="00053E08">
        <w:rPr>
          <w:rtl/>
        </w:rPr>
        <w:t xml:space="preserve"> </w:t>
      </w:r>
      <w:proofErr w:type="spellStart"/>
      <w:r w:rsidRPr="00053E08">
        <w:rPr>
          <w:rFonts w:hint="cs"/>
          <w:rtl/>
        </w:rPr>
        <w:t>עָוֹן</w:t>
      </w:r>
      <w:proofErr w:type="spellEnd"/>
      <w:r w:rsidRPr="00053E08">
        <w:rPr>
          <w:rtl/>
        </w:rPr>
        <w:t xml:space="preserve"> </w:t>
      </w:r>
      <w:r w:rsidRPr="00053E08">
        <w:rPr>
          <w:rFonts w:hint="cs"/>
          <w:rtl/>
        </w:rPr>
        <w:t>וָפֶשַׁע</w:t>
      </w:r>
      <w:r w:rsidRPr="00053E08">
        <w:rPr>
          <w:rtl/>
        </w:rPr>
        <w:t xml:space="preserve"> </w:t>
      </w:r>
      <w:r w:rsidRPr="00053E08">
        <w:rPr>
          <w:rFonts w:hint="cs"/>
          <w:rtl/>
        </w:rPr>
        <w:t>וְחַטָּאָה</w:t>
      </w:r>
      <w:r>
        <w:rPr>
          <w:rFonts w:hint="cs"/>
          <w:rtl/>
        </w:rPr>
        <w:t xml:space="preserve">" </w:t>
      </w:r>
      <w:r>
        <w:rPr>
          <w:rtl/>
        </w:rPr>
        <w:t>–</w:t>
      </w:r>
      <w:r>
        <w:rPr>
          <w:rFonts w:hint="cs"/>
          <w:rtl/>
        </w:rPr>
        <w:t xml:space="preserve"> שמות ל"ד, ז), ולעתים הוא מכוון לחטא הרובץ על כתפיו של החוטא (כמו: "</w:t>
      </w:r>
      <w:r w:rsidRPr="00053E08">
        <w:rPr>
          <w:rFonts w:hint="cs"/>
          <w:rtl/>
        </w:rPr>
        <w:t>וְאִם</w:t>
      </w:r>
      <w:r w:rsidRPr="00053E08">
        <w:rPr>
          <w:rtl/>
        </w:rPr>
        <w:t xml:space="preserve"> </w:t>
      </w:r>
      <w:r w:rsidRPr="00053E08">
        <w:rPr>
          <w:rFonts w:hint="cs"/>
          <w:rtl/>
        </w:rPr>
        <w:t>לֹא</w:t>
      </w:r>
      <w:r w:rsidRPr="00053E08">
        <w:rPr>
          <w:rtl/>
        </w:rPr>
        <w:t xml:space="preserve"> </w:t>
      </w:r>
      <w:r w:rsidRPr="00053E08">
        <w:rPr>
          <w:rFonts w:hint="cs"/>
          <w:rtl/>
        </w:rPr>
        <w:t>יְכַבֵּס</w:t>
      </w:r>
      <w:r w:rsidRPr="00053E08">
        <w:rPr>
          <w:rtl/>
        </w:rPr>
        <w:t xml:space="preserve"> </w:t>
      </w:r>
      <w:r w:rsidRPr="00053E08">
        <w:rPr>
          <w:rFonts w:hint="cs"/>
          <w:rtl/>
        </w:rPr>
        <w:t>וּבְשָׂרוֹ</w:t>
      </w:r>
      <w:r w:rsidRPr="00053E08">
        <w:rPr>
          <w:rtl/>
        </w:rPr>
        <w:t xml:space="preserve"> </w:t>
      </w:r>
      <w:r w:rsidRPr="00053E08">
        <w:rPr>
          <w:rFonts w:hint="cs"/>
          <w:rtl/>
        </w:rPr>
        <w:t>לֹא</w:t>
      </w:r>
      <w:r w:rsidRPr="00053E08">
        <w:rPr>
          <w:rtl/>
        </w:rPr>
        <w:t xml:space="preserve"> </w:t>
      </w:r>
      <w:r w:rsidRPr="00053E08">
        <w:rPr>
          <w:rFonts w:hint="cs"/>
          <w:rtl/>
        </w:rPr>
        <w:t>יִרְחָץ</w:t>
      </w:r>
      <w:r w:rsidRPr="00053E08">
        <w:rPr>
          <w:rtl/>
        </w:rPr>
        <w:t xml:space="preserve"> </w:t>
      </w:r>
      <w:r w:rsidRPr="00053E08">
        <w:rPr>
          <w:rFonts w:hint="cs"/>
          <w:rtl/>
        </w:rPr>
        <w:t>וְנָשָׂא</w:t>
      </w:r>
      <w:r w:rsidRPr="00053E08">
        <w:rPr>
          <w:rtl/>
        </w:rPr>
        <w:t xml:space="preserve"> </w:t>
      </w:r>
      <w:r w:rsidRPr="00053E08">
        <w:rPr>
          <w:rFonts w:hint="cs"/>
          <w:rtl/>
        </w:rPr>
        <w:t>עֲוֹנ</w:t>
      </w:r>
      <w:r>
        <w:rPr>
          <w:rFonts w:hint="cs"/>
          <w:rtl/>
        </w:rPr>
        <w:t xml:space="preserve">ו" </w:t>
      </w:r>
      <w:r>
        <w:rPr>
          <w:rtl/>
        </w:rPr>
        <w:t>–</w:t>
      </w:r>
      <w:r>
        <w:rPr>
          <w:rFonts w:hint="cs"/>
          <w:rtl/>
        </w:rPr>
        <w:t xml:space="preserve"> ויקרא י"ז, </w:t>
      </w:r>
      <w:proofErr w:type="spellStart"/>
      <w:r>
        <w:rPr>
          <w:rFonts w:hint="cs"/>
          <w:rtl/>
        </w:rPr>
        <w:t>טז</w:t>
      </w:r>
      <w:proofErr w:type="spellEnd"/>
      <w:r>
        <w:rPr>
          <w:rFonts w:hint="cs"/>
          <w:rtl/>
        </w:rPr>
        <w:t xml:space="preserve">). במקרה שלנו הכוונה כמובן לחטא הרובץ על כתפי זה שלא בא להעיד לחברו. כאמור, ביטוי זה מתאים במיוחד </w:t>
      </w:r>
      <w:r w:rsidR="00017E6D">
        <w:rPr>
          <w:rFonts w:hint="cs"/>
          <w:rtl/>
        </w:rPr>
        <w:t xml:space="preserve">כאשר </w:t>
      </w:r>
      <w:r>
        <w:rPr>
          <w:rFonts w:hint="cs"/>
          <w:rtl/>
        </w:rPr>
        <w:t>האדם מחליט בזדון לבו שלא להיעתר לקול האלה ששמע ולא להעיד לטובת הנפגע.</w:t>
      </w:r>
      <w:r>
        <w:rPr>
          <w:rStyle w:val="a5"/>
          <w:rFonts w:ascii="David" w:hAnsi="David"/>
          <w:sz w:val="24"/>
          <w:rtl/>
        </w:rPr>
        <w:footnoteReference w:id="11"/>
      </w:r>
    </w:p>
    <w:p w14:paraId="1DE24B7A" w14:textId="0862EE91" w:rsidR="007F35DF" w:rsidRDefault="007F35DF" w:rsidP="00017E6D">
      <w:pPr>
        <w:rPr>
          <w:rtl/>
        </w:rPr>
      </w:pPr>
      <w:r>
        <w:rPr>
          <w:rtl/>
        </w:rPr>
        <w:tab/>
      </w:r>
      <w:r>
        <w:rPr>
          <w:rFonts w:hint="cs"/>
          <w:rtl/>
        </w:rPr>
        <w:t xml:space="preserve">בחתימת המקרה השלישי גם יש חריגה, שמנצלת טכניקה ספרותית של קריאה כפולה, ושיש בה תרומה לתפיסת שלושת המקרים האלו ככלולים בקטגוריה אחת, כבעלי מכנה משותף. </w:t>
      </w:r>
      <w:r w:rsidRPr="001D529B">
        <w:rPr>
          <w:rtl/>
        </w:rPr>
        <w:t xml:space="preserve">לעתים </w:t>
      </w:r>
      <w:r>
        <w:rPr>
          <w:rFonts w:hint="cs"/>
          <w:rtl/>
        </w:rPr>
        <w:t xml:space="preserve">מילה, או </w:t>
      </w:r>
      <w:r w:rsidRPr="001D529B">
        <w:rPr>
          <w:rtl/>
        </w:rPr>
        <w:t xml:space="preserve">ביטוי </w:t>
      </w:r>
      <w:r>
        <w:rPr>
          <w:rFonts w:hint="cs"/>
          <w:rtl/>
        </w:rPr>
        <w:t xml:space="preserve">לשוני, חותמים שני מעגלי קריאה שונים. הדבר אינו שכיח, אך בחתימת המקרה השלישי דבר זה מתרחש. מטבע הלשון שחתמה את מקרה הטומאה "והוא ידע ואשם" </w:t>
      </w:r>
      <w:r>
        <w:rPr>
          <w:rtl/>
        </w:rPr>
        <w:t>–</w:t>
      </w:r>
      <w:r>
        <w:rPr>
          <w:rFonts w:hint="cs"/>
          <w:rtl/>
        </w:rPr>
        <w:t xml:space="preserve"> משתנה במקרה האחרון ונוסף בה: </w:t>
      </w:r>
      <w:r w:rsidRPr="00E85C72">
        <w:rPr>
          <w:rFonts w:hint="cs"/>
          <w:rtl/>
        </w:rPr>
        <w:t>"</w:t>
      </w:r>
      <w:r w:rsidRPr="00E85C72">
        <w:rPr>
          <w:rtl/>
        </w:rPr>
        <w:t xml:space="preserve">וְהוּא יָדַע וְאָשֵׁם </w:t>
      </w:r>
      <w:r w:rsidRPr="00E85C72">
        <w:rPr>
          <w:b/>
          <w:bCs/>
          <w:rtl/>
        </w:rPr>
        <w:t>לְאַחַת מֵאֵלֶּה</w:t>
      </w:r>
      <w:r>
        <w:rPr>
          <w:rFonts w:hint="cs"/>
          <w:rtl/>
        </w:rPr>
        <w:t xml:space="preserve">". מן העבר האחד, </w:t>
      </w:r>
      <w:r w:rsidR="00017E6D">
        <w:rPr>
          <w:rFonts w:hint="cs"/>
          <w:rtl/>
        </w:rPr>
        <w:t xml:space="preserve">כיון </w:t>
      </w:r>
      <w:r>
        <w:rPr>
          <w:rFonts w:hint="cs"/>
          <w:rtl/>
        </w:rPr>
        <w:t>שמטבע לשון זה נזכר גם בטומאה</w:t>
      </w:r>
      <w:r w:rsidR="00017E6D">
        <w:rPr>
          <w:rFonts w:hint="cs"/>
          <w:rtl/>
        </w:rPr>
        <w:t>,</w:t>
      </w:r>
      <w:r>
        <w:rPr>
          <w:rFonts w:hint="cs"/>
          <w:rtl/>
        </w:rPr>
        <w:t xml:space="preserve"> יש </w:t>
      </w:r>
      <w:r w:rsidRPr="00EE337E">
        <w:rPr>
          <w:rFonts w:hint="cs"/>
          <w:rtl/>
        </w:rPr>
        <w:t>לפענח את הצירוף "</w:t>
      </w:r>
      <w:r w:rsidRPr="00EE337E">
        <w:rPr>
          <w:rtl/>
        </w:rPr>
        <w:t>וְהוּא יָדַע וְאָשֵׁם</w:t>
      </w:r>
      <w:r w:rsidRPr="00EE337E">
        <w:rPr>
          <w:rFonts w:hint="cs"/>
          <w:rtl/>
        </w:rPr>
        <w:t>"</w:t>
      </w:r>
      <w:r w:rsidRPr="00EE337E">
        <w:rPr>
          <w:rtl/>
        </w:rPr>
        <w:t xml:space="preserve"> </w:t>
      </w:r>
      <w:r w:rsidRPr="00EE337E">
        <w:rPr>
          <w:rFonts w:hint="cs"/>
          <w:rtl/>
        </w:rPr>
        <w:t xml:space="preserve">שבפסוק ד, כחתימה של המקרה של אי קיום שבועה </w:t>
      </w:r>
      <w:r w:rsidRPr="00EE337E">
        <w:rPr>
          <w:rtl/>
        </w:rPr>
        <w:t>–</w:t>
      </w:r>
      <w:r w:rsidRPr="00EE337E">
        <w:rPr>
          <w:rFonts w:hint="cs"/>
          <w:rtl/>
        </w:rPr>
        <w:t xml:space="preserve"> המקרה</w:t>
      </w:r>
      <w:r w:rsidRPr="00A704E3">
        <w:rPr>
          <w:rFonts w:hint="cs"/>
          <w:rtl/>
        </w:rPr>
        <w:t xml:space="preserve"> השלישי.</w:t>
      </w:r>
      <w:r>
        <w:rPr>
          <w:rFonts w:hint="cs"/>
          <w:rtl/>
        </w:rPr>
        <w:t xml:space="preserve"> אולם, התוספת "לאחת מאלה" מלמדת שחתימה זו סוגרת גם את כל המקרים כולם. בכך הצירוף כולו, או לפחות המילה "</w:t>
      </w:r>
      <w:r w:rsidRPr="00A704E3">
        <w:rPr>
          <w:rtl/>
        </w:rPr>
        <w:t>וְאָשֵׁם</w:t>
      </w:r>
      <w:r>
        <w:rPr>
          <w:rFonts w:hint="cs"/>
          <w:rtl/>
        </w:rPr>
        <w:t>",</w:t>
      </w:r>
      <w:r w:rsidRPr="00A704E3">
        <w:rPr>
          <w:rFonts w:hint="cs"/>
          <w:rtl/>
        </w:rPr>
        <w:t xml:space="preserve"> מקבל</w:t>
      </w:r>
      <w:r>
        <w:rPr>
          <w:rFonts w:hint="cs"/>
          <w:rtl/>
        </w:rPr>
        <w:t>ים</w:t>
      </w:r>
      <w:r w:rsidRPr="00A704E3">
        <w:rPr>
          <w:rFonts w:hint="cs"/>
          <w:rtl/>
        </w:rPr>
        <w:t xml:space="preserve"> תפקיד נוסף </w:t>
      </w:r>
      <w:r>
        <w:rPr>
          <w:rFonts w:hint="cs"/>
          <w:rtl/>
        </w:rPr>
        <w:t xml:space="preserve">כחתימה של המקרים כולם, וכהצבעה על כך שבכולם יש אשמה </w:t>
      </w:r>
      <w:r w:rsidR="00017E6D">
        <w:rPr>
          <w:rFonts w:hint="cs"/>
          <w:rtl/>
        </w:rPr>
        <w:t>ה</w:t>
      </w:r>
      <w:r>
        <w:rPr>
          <w:rFonts w:hint="cs"/>
          <w:rtl/>
        </w:rPr>
        <w:t>מחייבת קורבן</w:t>
      </w:r>
      <w:r w:rsidRPr="00A704E3">
        <w:rPr>
          <w:rFonts w:hint="cs"/>
          <w:rtl/>
        </w:rPr>
        <w:t>.</w:t>
      </w:r>
    </w:p>
    <w:p w14:paraId="0327334E" w14:textId="0D7657B9" w:rsidR="00697343" w:rsidRDefault="007F35DF" w:rsidP="007F35DF">
      <w:pPr>
        <w:rPr>
          <w:rtl/>
        </w:rPr>
      </w:pPr>
      <w:r>
        <w:rPr>
          <w:rtl/>
        </w:rPr>
        <w:tab/>
      </w:r>
      <w:r>
        <w:rPr>
          <w:rFonts w:hint="cs"/>
          <w:rtl/>
        </w:rPr>
        <w:t>יש בכתיבה כזו תרומה לליכוד המקרים כולם ולרמיזה שאכן יש למצוא לכולם מכנה משותף אחד, שהרי התורה חותמת אותם יחדו כחטיבה מאורגנת אחת.</w:t>
      </w:r>
    </w:p>
    <w:p w14:paraId="7F5CCE10" w14:textId="77777777" w:rsidR="001E5152" w:rsidRPr="006945E2"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bookmarkEnd w:id="0"/>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EBB1C" w14:textId="77777777" w:rsidR="0025700E" w:rsidRDefault="0025700E" w:rsidP="00405665">
      <w:r>
        <w:separator/>
      </w:r>
    </w:p>
  </w:endnote>
  <w:endnote w:type="continuationSeparator" w:id="0">
    <w:p w14:paraId="7FFC8A85" w14:textId="77777777" w:rsidR="0025700E" w:rsidRDefault="0025700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3CE3" w14:textId="77777777" w:rsidR="007F2FEF" w:rsidRDefault="007F2FE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8012" w14:textId="77777777" w:rsidR="007F2FEF" w:rsidRDefault="007F2FE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8320" w14:textId="77777777" w:rsidR="007F2FEF" w:rsidRDefault="007F2FE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B8807" w14:textId="77777777" w:rsidR="0025700E" w:rsidRDefault="0025700E" w:rsidP="00405665">
      <w:r>
        <w:separator/>
      </w:r>
    </w:p>
  </w:footnote>
  <w:footnote w:type="continuationSeparator" w:id="0">
    <w:p w14:paraId="165C8FAA" w14:textId="77777777" w:rsidR="0025700E" w:rsidRDefault="0025700E" w:rsidP="00405665">
      <w:r>
        <w:continuationSeparator/>
      </w:r>
    </w:p>
  </w:footnote>
  <w:footnote w:id="1">
    <w:p w14:paraId="101003DD" w14:textId="092569F2" w:rsidR="007F35DF" w:rsidRPr="007F35DF" w:rsidRDefault="007F35DF" w:rsidP="008F3787">
      <w:pPr>
        <w:pStyle w:val="a3"/>
        <w:rPr>
          <w:rtl/>
        </w:rPr>
      </w:pPr>
      <w:r w:rsidRPr="007F35DF">
        <w:rPr>
          <w:rStyle w:val="a5"/>
          <w:rFonts w:eastAsia="Narkisim"/>
          <w:rtl/>
        </w:rPr>
        <w:footnoteRef/>
      </w:r>
      <w:r w:rsidRPr="007F35DF">
        <w:rPr>
          <w:rtl/>
        </w:rPr>
        <w:t xml:space="preserve"> </w:t>
      </w:r>
      <w:r>
        <w:rPr>
          <w:rtl/>
        </w:rPr>
        <w:tab/>
      </w:r>
      <w:r w:rsidRPr="007F35DF">
        <w:rPr>
          <w:rtl/>
        </w:rPr>
        <w:t>א</w:t>
      </w:r>
      <w:r w:rsidR="008F3787">
        <w:rPr>
          <w:rFonts w:hint="cs"/>
          <w:rtl/>
        </w:rPr>
        <w:t>ו</w:t>
      </w:r>
      <w:r w:rsidRPr="007F35DF">
        <w:rPr>
          <w:rtl/>
        </w:rPr>
        <w:t xml:space="preserve">מנם במקרה השלישי </w:t>
      </w:r>
      <w:r>
        <w:rPr>
          <w:rtl/>
        </w:rPr>
        <w:t>–</w:t>
      </w:r>
      <w:r w:rsidRPr="007F35DF">
        <w:rPr>
          <w:rtl/>
        </w:rPr>
        <w:t xml:space="preserve"> חילול שבועה </w:t>
      </w:r>
      <w:r>
        <w:rPr>
          <w:rtl/>
        </w:rPr>
        <w:t>–</w:t>
      </w:r>
      <w:r w:rsidRPr="007F35DF">
        <w:rPr>
          <w:rtl/>
        </w:rPr>
        <w:t xml:space="preserve"> </w:t>
      </w:r>
      <w:r w:rsidR="008F3787">
        <w:rPr>
          <w:rFonts w:hint="cs"/>
          <w:rtl/>
        </w:rPr>
        <w:t xml:space="preserve">אפשר </w:t>
      </w:r>
      <w:r w:rsidRPr="007F35DF">
        <w:rPr>
          <w:rtl/>
        </w:rPr>
        <w:t xml:space="preserve">להפר את השבועה במעשה, שהרי אם תוכן השבועה היה להימנע ממעשה מסוים, ברגע שאדם עשה </w:t>
      </w:r>
      <w:r w:rsidR="008F3787">
        <w:rPr>
          <w:rFonts w:hint="cs"/>
          <w:rtl/>
        </w:rPr>
        <w:t xml:space="preserve">זאת, </w:t>
      </w:r>
      <w:r w:rsidRPr="007F35DF">
        <w:rPr>
          <w:rtl/>
        </w:rPr>
        <w:t>הוא הפר את שבועתו. אולם גם חטא זה יש לראות באופן מהותי כמחדל; האדם לא עשה כפי שהתחייב בשבועה, בין אם "לא עשה" באופן פסיבי ובין אם "לא עשה" בהתאם להתחייבותו באופן אקטיבי.</w:t>
      </w:r>
    </w:p>
  </w:footnote>
  <w:footnote w:id="2">
    <w:p w14:paraId="5170FCD7" w14:textId="577A4DC0" w:rsidR="007F35DF" w:rsidRPr="007F35DF" w:rsidRDefault="007F35DF" w:rsidP="007F35DF">
      <w:pPr>
        <w:pStyle w:val="a3"/>
        <w:rPr>
          <w:rtl/>
        </w:rPr>
      </w:pPr>
      <w:r w:rsidRPr="007F35DF">
        <w:rPr>
          <w:rStyle w:val="a5"/>
          <w:rFonts w:eastAsia="Narkisim"/>
          <w:rtl/>
        </w:rPr>
        <w:footnoteRef/>
      </w:r>
      <w:r w:rsidRPr="007F35DF">
        <w:rPr>
          <w:rtl/>
        </w:rPr>
        <w:t xml:space="preserve"> </w:t>
      </w:r>
      <w:r>
        <w:rPr>
          <w:rtl/>
        </w:rPr>
        <w:tab/>
      </w:r>
      <w:r w:rsidRPr="007F35DF">
        <w:rPr>
          <w:rtl/>
        </w:rPr>
        <w:t xml:space="preserve">כך דעתו של ר' יהודה למשל במכות ד' ע"ב, וכנראה זו גם דעתו של ריש לקיש </w:t>
      </w:r>
      <w:r>
        <w:rPr>
          <w:rtl/>
        </w:rPr>
        <w:t>–</w:t>
      </w:r>
      <w:r w:rsidRPr="007F35DF">
        <w:rPr>
          <w:rtl/>
        </w:rPr>
        <w:t xml:space="preserve"> פסחים ס"ג ע"ב, ומכות ט"ז ע"א. בדעתו הפרובלמטית של ריש לקיש דנו </w:t>
      </w:r>
      <w:proofErr w:type="spellStart"/>
      <w:r w:rsidRPr="007F35DF">
        <w:rPr>
          <w:rtl/>
        </w:rPr>
        <w:t>תוס</w:t>
      </w:r>
      <w:proofErr w:type="spellEnd"/>
      <w:r w:rsidRPr="007F35DF">
        <w:rPr>
          <w:rtl/>
        </w:rPr>
        <w:t xml:space="preserve">', </w:t>
      </w:r>
      <w:proofErr w:type="spellStart"/>
      <w:r w:rsidRPr="007F35DF">
        <w:rPr>
          <w:rtl/>
        </w:rPr>
        <w:t>ב"מ</w:t>
      </w:r>
      <w:proofErr w:type="spellEnd"/>
      <w:r w:rsidRPr="007F35DF">
        <w:rPr>
          <w:rtl/>
        </w:rPr>
        <w:t xml:space="preserve"> צ' ע"ב, ד"ה "ריש לקיש". </w:t>
      </w:r>
    </w:p>
  </w:footnote>
  <w:footnote w:id="3">
    <w:p w14:paraId="76A0AFD9" w14:textId="077B365D" w:rsidR="007F35DF" w:rsidRPr="007F35DF" w:rsidRDefault="007F35DF" w:rsidP="007F35DF">
      <w:pPr>
        <w:pStyle w:val="a3"/>
        <w:rPr>
          <w:rtl/>
        </w:rPr>
      </w:pPr>
      <w:r w:rsidRPr="007F35DF">
        <w:rPr>
          <w:rStyle w:val="a5"/>
          <w:rFonts w:eastAsia="Narkisim"/>
          <w:rtl/>
        </w:rPr>
        <w:footnoteRef/>
      </w:r>
      <w:r w:rsidRPr="007F35DF">
        <w:rPr>
          <w:rtl/>
        </w:rPr>
        <w:t xml:space="preserve"> </w:t>
      </w:r>
      <w:r>
        <w:rPr>
          <w:rtl/>
        </w:rPr>
        <w:tab/>
      </w:r>
      <w:r w:rsidRPr="007F35DF">
        <w:rPr>
          <w:rtl/>
        </w:rPr>
        <w:t xml:space="preserve">כך למשל מתבטא הרמב"ם (הל' סנהדרין פרק י"ח הלכה א'-ב'): "וכן (-לוקה-) כל העובר על לאו שיש בו מעשה כגון אוכל בשר בחלב או לובש שעטנז, אבל לאו שאין בו מעשה כגון הולך רכיל ונוקם ונוטר ונושא שמא </w:t>
      </w:r>
      <w:proofErr w:type="spellStart"/>
      <w:r w:rsidRPr="007F35DF">
        <w:rPr>
          <w:rtl/>
        </w:rPr>
        <w:t>שוא</w:t>
      </w:r>
      <w:proofErr w:type="spellEnd"/>
      <w:r w:rsidRPr="007F35DF">
        <w:rPr>
          <w:rtl/>
        </w:rPr>
        <w:t xml:space="preserve"> אינו לוקה. כל לאו שאין בו מעשה אין </w:t>
      </w:r>
      <w:proofErr w:type="spellStart"/>
      <w:r w:rsidRPr="007F35DF">
        <w:rPr>
          <w:rtl/>
        </w:rPr>
        <w:t>לוקין</w:t>
      </w:r>
      <w:proofErr w:type="spellEnd"/>
      <w:r w:rsidRPr="007F35DF">
        <w:rPr>
          <w:rtl/>
        </w:rPr>
        <w:t xml:space="preserve"> עליו, חוץ </w:t>
      </w:r>
      <w:proofErr w:type="spellStart"/>
      <w:r w:rsidRPr="007F35DF">
        <w:rPr>
          <w:rtl/>
        </w:rPr>
        <w:t>מנשבע</w:t>
      </w:r>
      <w:proofErr w:type="spellEnd"/>
      <w:r w:rsidRPr="007F35DF">
        <w:rPr>
          <w:rtl/>
        </w:rPr>
        <w:t xml:space="preserve"> </w:t>
      </w:r>
      <w:proofErr w:type="spellStart"/>
      <w:r w:rsidRPr="007F35DF">
        <w:rPr>
          <w:rtl/>
        </w:rPr>
        <w:t>ומימר</w:t>
      </w:r>
      <w:proofErr w:type="spellEnd"/>
      <w:r w:rsidRPr="007F35DF">
        <w:rPr>
          <w:rtl/>
        </w:rPr>
        <w:t xml:space="preserve"> ומקלל את </w:t>
      </w:r>
      <w:proofErr w:type="spellStart"/>
      <w:r w:rsidRPr="007F35DF">
        <w:rPr>
          <w:rtl/>
        </w:rPr>
        <w:t>חבירו</w:t>
      </w:r>
      <w:proofErr w:type="spellEnd"/>
      <w:r w:rsidRPr="007F35DF">
        <w:rPr>
          <w:rtl/>
        </w:rPr>
        <w:t xml:space="preserve"> בשם".</w:t>
      </w:r>
    </w:p>
  </w:footnote>
  <w:footnote w:id="4">
    <w:p w14:paraId="0D871FAE" w14:textId="1CE13786" w:rsidR="007F35DF" w:rsidRPr="007F35DF" w:rsidRDefault="007F35DF" w:rsidP="007F35DF">
      <w:pPr>
        <w:pStyle w:val="a3"/>
        <w:rPr>
          <w:rtl/>
        </w:rPr>
      </w:pPr>
      <w:r w:rsidRPr="007F35DF">
        <w:rPr>
          <w:rStyle w:val="a5"/>
          <w:rFonts w:eastAsia="Narkisim"/>
          <w:rtl/>
        </w:rPr>
        <w:footnoteRef/>
      </w:r>
      <w:r w:rsidRPr="007F35DF">
        <w:rPr>
          <w:rtl/>
        </w:rPr>
        <w:t xml:space="preserve"> </w:t>
      </w:r>
      <w:r>
        <w:rPr>
          <w:rtl/>
        </w:rPr>
        <w:tab/>
      </w:r>
      <w:r w:rsidRPr="007F35DF">
        <w:rPr>
          <w:rtl/>
        </w:rPr>
        <w:t>ע"א 6649/96, הסתדרות מדיצינית הדסה נ' עופרה גלעד, תק-על 99(2), 1381, עמ' 1388.</w:t>
      </w:r>
    </w:p>
  </w:footnote>
  <w:footnote w:id="5">
    <w:p w14:paraId="13D715D4" w14:textId="071BC9D4" w:rsidR="007F35DF" w:rsidRPr="007F35DF" w:rsidRDefault="007F35DF" w:rsidP="007F35DF">
      <w:pPr>
        <w:pStyle w:val="a3"/>
        <w:rPr>
          <w:rtl/>
        </w:rPr>
      </w:pPr>
      <w:r w:rsidRPr="007F35DF">
        <w:rPr>
          <w:rStyle w:val="a5"/>
          <w:rFonts w:eastAsia="Narkisim"/>
          <w:rtl/>
        </w:rPr>
        <w:footnoteRef/>
      </w:r>
      <w:r w:rsidRPr="007F35DF">
        <w:rPr>
          <w:rtl/>
        </w:rPr>
        <w:t xml:space="preserve"> </w:t>
      </w:r>
      <w:r>
        <w:rPr>
          <w:rtl/>
        </w:rPr>
        <w:tab/>
      </w:r>
      <w:r w:rsidRPr="007F35DF">
        <w:rPr>
          <w:rtl/>
        </w:rPr>
        <w:t xml:space="preserve">את שלוש העמדות הבסיסיות לגבי המעבר מפרספקטיבת </w:t>
      </w:r>
      <w:proofErr w:type="spellStart"/>
      <w:r w:rsidRPr="007F35DF">
        <w:rPr>
          <w:rtl/>
        </w:rPr>
        <w:t>הנזיקין</w:t>
      </w:r>
      <w:proofErr w:type="spellEnd"/>
      <w:r w:rsidRPr="007F35DF">
        <w:rPr>
          <w:rtl/>
        </w:rPr>
        <w:t xml:space="preserve"> על מחדל לפרספקטיבת הפלילים ודיון בהן, ימצא המעיין במאמרו של </w:t>
      </w:r>
      <w:r w:rsidRPr="007F35DF">
        <w:rPr>
          <w:rFonts w:hint="cs"/>
          <w:rtl/>
        </w:rPr>
        <w:t>ד</w:t>
      </w:r>
      <w:r w:rsidRPr="007F35DF">
        <w:rPr>
          <w:rtl/>
        </w:rPr>
        <w:t xml:space="preserve">' </w:t>
      </w:r>
      <w:proofErr w:type="spellStart"/>
      <w:r w:rsidRPr="007F35DF">
        <w:rPr>
          <w:rFonts w:hint="cs"/>
          <w:rtl/>
        </w:rPr>
        <w:t>סטטמן</w:t>
      </w:r>
      <w:proofErr w:type="spellEnd"/>
      <w:r w:rsidRPr="007F35DF">
        <w:rPr>
          <w:rtl/>
        </w:rPr>
        <w:t>, "</w:t>
      </w:r>
      <w:r w:rsidRPr="007F35DF">
        <w:rPr>
          <w:rFonts w:hint="cs"/>
          <w:rtl/>
        </w:rPr>
        <w:t>לא</w:t>
      </w:r>
      <w:r w:rsidRPr="007F35DF">
        <w:rPr>
          <w:rtl/>
        </w:rPr>
        <w:t xml:space="preserve"> </w:t>
      </w:r>
      <w:r w:rsidRPr="007F35DF">
        <w:rPr>
          <w:rFonts w:hint="cs"/>
          <w:rtl/>
        </w:rPr>
        <w:t>תעמוד</w:t>
      </w:r>
      <w:r w:rsidRPr="007F35DF">
        <w:rPr>
          <w:rtl/>
        </w:rPr>
        <w:t xml:space="preserve"> </w:t>
      </w:r>
      <w:r w:rsidRPr="007F35DF">
        <w:rPr>
          <w:rFonts w:hint="cs"/>
          <w:rtl/>
        </w:rPr>
        <w:t>על</w:t>
      </w:r>
      <w:r w:rsidRPr="007F35DF">
        <w:rPr>
          <w:rtl/>
        </w:rPr>
        <w:t xml:space="preserve"> </w:t>
      </w:r>
      <w:r w:rsidRPr="007F35DF">
        <w:rPr>
          <w:rFonts w:hint="cs"/>
          <w:rtl/>
        </w:rPr>
        <w:t>דם</w:t>
      </w:r>
      <w:r w:rsidRPr="007F35DF">
        <w:rPr>
          <w:rtl/>
        </w:rPr>
        <w:t xml:space="preserve"> </w:t>
      </w:r>
      <w:r w:rsidRPr="007F35DF">
        <w:rPr>
          <w:rFonts w:hint="cs"/>
          <w:rtl/>
        </w:rPr>
        <w:t>רעך</w:t>
      </w:r>
      <w:r w:rsidRPr="007F35DF">
        <w:rPr>
          <w:rtl/>
        </w:rPr>
        <w:t xml:space="preserve"> – </w:t>
      </w:r>
      <w:r w:rsidRPr="007F35DF">
        <w:rPr>
          <w:rFonts w:hint="cs"/>
          <w:rtl/>
        </w:rPr>
        <w:t>מחובת</w:t>
      </w:r>
      <w:r w:rsidRPr="007F35DF">
        <w:rPr>
          <w:rtl/>
        </w:rPr>
        <w:t xml:space="preserve"> </w:t>
      </w:r>
      <w:r w:rsidRPr="007F35DF">
        <w:rPr>
          <w:rFonts w:hint="cs"/>
          <w:rtl/>
        </w:rPr>
        <w:t>הזהירות</w:t>
      </w:r>
      <w:r w:rsidRPr="007F35DF">
        <w:rPr>
          <w:rtl/>
        </w:rPr>
        <w:t xml:space="preserve"> </w:t>
      </w:r>
      <w:r w:rsidRPr="007F35DF">
        <w:rPr>
          <w:rFonts w:hint="cs"/>
          <w:rtl/>
        </w:rPr>
        <w:t>לחובת</w:t>
      </w:r>
      <w:r w:rsidRPr="007F35DF">
        <w:rPr>
          <w:rtl/>
        </w:rPr>
        <w:t xml:space="preserve"> </w:t>
      </w:r>
      <w:r w:rsidRPr="007F35DF">
        <w:rPr>
          <w:rFonts w:hint="cs"/>
          <w:rtl/>
        </w:rPr>
        <w:t>השומרוני</w:t>
      </w:r>
      <w:r w:rsidRPr="007F35DF">
        <w:rPr>
          <w:rtl/>
        </w:rPr>
        <w:t xml:space="preserve"> </w:t>
      </w:r>
      <w:r w:rsidRPr="007F35DF">
        <w:rPr>
          <w:rFonts w:hint="cs"/>
          <w:rtl/>
        </w:rPr>
        <w:t>הטוב</w:t>
      </w:r>
      <w:r w:rsidRPr="007F35DF">
        <w:rPr>
          <w:rtl/>
        </w:rPr>
        <w:t xml:space="preserve">", </w:t>
      </w:r>
      <w:r w:rsidRPr="007F35DF">
        <w:rPr>
          <w:rFonts w:hint="cs"/>
          <w:b/>
          <w:bCs/>
          <w:rtl/>
        </w:rPr>
        <w:t>מחקרי</w:t>
      </w:r>
      <w:r w:rsidRPr="007F35DF">
        <w:rPr>
          <w:b/>
          <w:bCs/>
          <w:rtl/>
        </w:rPr>
        <w:t xml:space="preserve"> </w:t>
      </w:r>
      <w:r w:rsidRPr="007F35DF">
        <w:rPr>
          <w:rFonts w:hint="cs"/>
          <w:b/>
          <w:bCs/>
          <w:rtl/>
        </w:rPr>
        <w:t>משפט</w:t>
      </w:r>
      <w:r w:rsidRPr="007F35DF">
        <w:rPr>
          <w:rtl/>
        </w:rPr>
        <w:t xml:space="preserve"> </w:t>
      </w:r>
      <w:r w:rsidRPr="007F35DF">
        <w:rPr>
          <w:rFonts w:hint="cs"/>
          <w:rtl/>
        </w:rPr>
        <w:t>טו</w:t>
      </w:r>
      <w:r w:rsidRPr="007F35DF">
        <w:rPr>
          <w:rtl/>
        </w:rPr>
        <w:t xml:space="preserve"> (</w:t>
      </w:r>
      <w:r w:rsidRPr="007F35DF">
        <w:rPr>
          <w:rFonts w:hint="cs"/>
          <w:rtl/>
        </w:rPr>
        <w:t>תשנ</w:t>
      </w:r>
      <w:r w:rsidRPr="007F35DF">
        <w:rPr>
          <w:rtl/>
        </w:rPr>
        <w:t>"</w:t>
      </w:r>
      <w:r w:rsidRPr="007F35DF">
        <w:rPr>
          <w:rFonts w:hint="cs"/>
          <w:rtl/>
        </w:rPr>
        <w:t>ט</w:t>
      </w:r>
      <w:r w:rsidRPr="007F35DF">
        <w:rPr>
          <w:rtl/>
        </w:rPr>
        <w:t xml:space="preserve">), </w:t>
      </w:r>
      <w:r w:rsidRPr="007F35DF">
        <w:rPr>
          <w:rFonts w:hint="cs"/>
          <w:rtl/>
        </w:rPr>
        <w:t>עמ</w:t>
      </w:r>
      <w:r w:rsidRPr="007F35DF">
        <w:rPr>
          <w:rtl/>
        </w:rPr>
        <w:t>' 116-89.</w:t>
      </w:r>
    </w:p>
  </w:footnote>
  <w:footnote w:id="6">
    <w:p w14:paraId="3D6D21A9" w14:textId="501A7BB1" w:rsidR="007F35DF" w:rsidRPr="007F35DF" w:rsidRDefault="007F35DF" w:rsidP="007F35DF">
      <w:pPr>
        <w:pStyle w:val="a3"/>
        <w:rPr>
          <w:rtl/>
        </w:rPr>
      </w:pPr>
      <w:r w:rsidRPr="007F35DF">
        <w:rPr>
          <w:rStyle w:val="a5"/>
          <w:rFonts w:eastAsia="Narkisim"/>
          <w:rtl/>
        </w:rPr>
        <w:footnoteRef/>
      </w:r>
      <w:r w:rsidRPr="007F35DF">
        <w:rPr>
          <w:rtl/>
        </w:rPr>
        <w:t xml:space="preserve"> </w:t>
      </w:r>
      <w:r>
        <w:rPr>
          <w:rtl/>
        </w:rPr>
        <w:tab/>
      </w:r>
      <w:r w:rsidRPr="007F35DF">
        <w:rPr>
          <w:rtl/>
        </w:rPr>
        <w:t xml:space="preserve">דברי העותר </w:t>
      </w:r>
      <w:proofErr w:type="spellStart"/>
      <w:r w:rsidRPr="007F35DF">
        <w:rPr>
          <w:rtl/>
        </w:rPr>
        <w:t>בדנ"פ</w:t>
      </w:r>
      <w:proofErr w:type="spellEnd"/>
      <w:r w:rsidRPr="007F35DF">
        <w:rPr>
          <w:rtl/>
        </w:rPr>
        <w:t xml:space="preserve"> 2974/99, ו' אוחנה נ' מדינת ישראל, דינים ועוד, דינים עליון, כרך </w:t>
      </w:r>
      <w:proofErr w:type="spellStart"/>
      <w:r w:rsidRPr="007F35DF">
        <w:rPr>
          <w:rtl/>
        </w:rPr>
        <w:t>נז</w:t>
      </w:r>
      <w:proofErr w:type="spellEnd"/>
      <w:r w:rsidRPr="007F35DF">
        <w:rPr>
          <w:rtl/>
        </w:rPr>
        <w:t>, 426.</w:t>
      </w:r>
    </w:p>
  </w:footnote>
  <w:footnote w:id="7">
    <w:p w14:paraId="1EB11A5A" w14:textId="23081F8D" w:rsidR="007F35DF" w:rsidRPr="007F35DF" w:rsidRDefault="007F35DF" w:rsidP="007F35DF">
      <w:pPr>
        <w:pStyle w:val="a3"/>
        <w:rPr>
          <w:rtl/>
        </w:rPr>
      </w:pPr>
      <w:r w:rsidRPr="007F35DF">
        <w:rPr>
          <w:rStyle w:val="a5"/>
          <w:rFonts w:eastAsia="Narkisim"/>
          <w:rtl/>
        </w:rPr>
        <w:footnoteRef/>
      </w:r>
      <w:r w:rsidRPr="007F35DF">
        <w:rPr>
          <w:rtl/>
        </w:rPr>
        <w:t xml:space="preserve"> </w:t>
      </w:r>
      <w:r>
        <w:rPr>
          <w:rtl/>
        </w:rPr>
        <w:tab/>
      </w:r>
      <w:r w:rsidRPr="007F35DF">
        <w:rPr>
          <w:rFonts w:hint="cs"/>
          <w:rtl/>
        </w:rPr>
        <w:t xml:space="preserve">הרב חנן פורת בהיותו </w:t>
      </w:r>
      <w:r w:rsidRPr="007F35DF">
        <w:rPr>
          <w:rtl/>
        </w:rPr>
        <w:t xml:space="preserve">יו"ר ועדת החוקה, </w:t>
      </w:r>
      <w:r w:rsidRPr="007F35DF">
        <w:rPr>
          <w:rFonts w:hint="cs"/>
          <w:rtl/>
        </w:rPr>
        <w:t>"</w:t>
      </w:r>
      <w:r w:rsidRPr="007F35DF">
        <w:rPr>
          <w:rtl/>
        </w:rPr>
        <w:t>הצעת חוק העונשין (תיקון מס' 47) (לא תעמוד על דם רעך)</w:t>
      </w:r>
      <w:r w:rsidRPr="007F35DF">
        <w:rPr>
          <w:rFonts w:hint="cs"/>
          <w:rtl/>
        </w:rPr>
        <w:t>"</w:t>
      </w:r>
      <w:r w:rsidRPr="007F35DF">
        <w:rPr>
          <w:rtl/>
        </w:rPr>
        <w:t xml:space="preserve">, </w:t>
      </w:r>
      <w:proofErr w:type="spellStart"/>
      <w:r w:rsidRPr="007F35DF">
        <w:rPr>
          <w:rtl/>
        </w:rPr>
        <w:t>התשנ"ה</w:t>
      </w:r>
      <w:proofErr w:type="spellEnd"/>
      <w:r w:rsidRPr="007F35DF">
        <w:rPr>
          <w:rFonts w:hint="cs"/>
          <w:rtl/>
        </w:rPr>
        <w:t>.</w:t>
      </w:r>
    </w:p>
  </w:footnote>
  <w:footnote w:id="8">
    <w:p w14:paraId="0B4CACE4" w14:textId="09AF2D6E" w:rsidR="007F35DF" w:rsidRPr="007F35DF" w:rsidRDefault="007F35DF" w:rsidP="007F35DF">
      <w:pPr>
        <w:pStyle w:val="a3"/>
        <w:rPr>
          <w:rtl/>
        </w:rPr>
      </w:pPr>
      <w:r w:rsidRPr="007F35DF">
        <w:rPr>
          <w:rStyle w:val="a5"/>
          <w:rFonts w:eastAsia="Narkisim"/>
          <w:rtl/>
        </w:rPr>
        <w:footnoteRef/>
      </w:r>
      <w:r w:rsidRPr="007F35DF">
        <w:rPr>
          <w:rtl/>
        </w:rPr>
        <w:t xml:space="preserve"> </w:t>
      </w:r>
      <w:r>
        <w:rPr>
          <w:rtl/>
        </w:rPr>
        <w:tab/>
      </w:r>
      <w:r w:rsidRPr="007F35DF">
        <w:rPr>
          <w:rtl/>
        </w:rPr>
        <w:t>רא</w:t>
      </w:r>
      <w:r w:rsidRPr="007F35DF">
        <w:rPr>
          <w:rFonts w:hint="cs"/>
          <w:rtl/>
        </w:rPr>
        <w:t>ו</w:t>
      </w:r>
      <w:r w:rsidRPr="007F35DF">
        <w:rPr>
          <w:rtl/>
        </w:rPr>
        <w:t xml:space="preserve"> משנה כריתות פ"ב, מ"ב.</w:t>
      </w:r>
    </w:p>
  </w:footnote>
  <w:footnote w:id="9">
    <w:p w14:paraId="1791512A" w14:textId="542627A3" w:rsidR="007F35DF" w:rsidRPr="007F35DF" w:rsidRDefault="007F35DF" w:rsidP="00660BA1">
      <w:pPr>
        <w:pStyle w:val="a3"/>
        <w:rPr>
          <w:rtl/>
        </w:rPr>
      </w:pPr>
      <w:r w:rsidRPr="007F35DF">
        <w:rPr>
          <w:rStyle w:val="a5"/>
          <w:rFonts w:eastAsia="Narkisim"/>
        </w:rPr>
        <w:footnoteRef/>
      </w:r>
      <w:r>
        <w:rPr>
          <w:rtl/>
        </w:rPr>
        <w:tab/>
      </w:r>
      <w:r w:rsidRPr="007F35DF">
        <w:rPr>
          <w:rFonts w:hint="cs"/>
          <w:rtl/>
        </w:rPr>
        <w:t xml:space="preserve">זה הכיוון שאחז בו גם </w:t>
      </w:r>
      <w:proofErr w:type="spellStart"/>
      <w:r w:rsidRPr="007F35DF">
        <w:rPr>
          <w:rFonts w:hint="cs"/>
          <w:rtl/>
        </w:rPr>
        <w:t>מילגרום</w:t>
      </w:r>
      <w:proofErr w:type="spellEnd"/>
      <w:r w:rsidR="00660BA1">
        <w:rPr>
          <w:rFonts w:hint="cs"/>
          <w:rtl/>
        </w:rPr>
        <w:t xml:space="preserve">. </w:t>
      </w:r>
      <w:r w:rsidRPr="007F35DF">
        <w:rPr>
          <w:rFonts w:hint="cs"/>
          <w:rtl/>
        </w:rPr>
        <w:t>כאמור לעיל, רבים בפרשנות המודרנית אחזו בקו שהציע אברבנאל שהק</w:t>
      </w:r>
      <w:r w:rsidR="00B006CF">
        <w:rPr>
          <w:rFonts w:hint="cs"/>
          <w:rtl/>
        </w:rPr>
        <w:t>ו</w:t>
      </w:r>
      <w:r w:rsidRPr="007F35DF">
        <w:rPr>
          <w:rFonts w:hint="cs"/>
          <w:rtl/>
        </w:rPr>
        <w:t>רבן אינו בא דווקא על מקרים אלו ועל כן לא נזקקו לשאלת המכנה המשותף.</w:t>
      </w:r>
    </w:p>
  </w:footnote>
  <w:footnote w:id="10">
    <w:p w14:paraId="3CE383C9" w14:textId="4E1E43B5" w:rsidR="007F35DF" w:rsidRPr="007F35DF" w:rsidRDefault="007F35DF" w:rsidP="007F35DF">
      <w:pPr>
        <w:pStyle w:val="a3"/>
        <w:rPr>
          <w:rtl/>
        </w:rPr>
      </w:pPr>
      <w:r w:rsidRPr="007F35DF">
        <w:rPr>
          <w:rStyle w:val="a5"/>
          <w:rFonts w:eastAsia="Narkisim"/>
          <w:rtl/>
        </w:rPr>
        <w:footnoteRef/>
      </w:r>
      <w:r w:rsidRPr="007F35DF">
        <w:rPr>
          <w:rtl/>
        </w:rPr>
        <w:t xml:space="preserve"> </w:t>
      </w:r>
      <w:r>
        <w:rPr>
          <w:rtl/>
        </w:rPr>
        <w:tab/>
      </w:r>
      <w:r w:rsidRPr="007F35DF">
        <w:rPr>
          <w:rFonts w:hint="cs"/>
          <w:rtl/>
        </w:rPr>
        <w:t xml:space="preserve">כפי שהערתי לעיל, </w:t>
      </w:r>
      <w:r w:rsidRPr="007F35DF">
        <w:rPr>
          <w:rtl/>
        </w:rPr>
        <w:t xml:space="preserve">חז"ל </w:t>
      </w:r>
      <w:r w:rsidRPr="007F35DF">
        <w:rPr>
          <w:rFonts w:hint="cs"/>
          <w:rtl/>
        </w:rPr>
        <w:t>ראו גם ב</w:t>
      </w:r>
      <w:r w:rsidRPr="007F35DF">
        <w:rPr>
          <w:rtl/>
        </w:rPr>
        <w:t xml:space="preserve">קורבן העולה </w:t>
      </w:r>
      <w:r w:rsidRPr="007F35DF">
        <w:rPr>
          <w:rFonts w:hint="cs"/>
          <w:rtl/>
        </w:rPr>
        <w:t xml:space="preserve">יסוד של </w:t>
      </w:r>
      <w:r w:rsidRPr="007F35DF">
        <w:rPr>
          <w:rtl/>
        </w:rPr>
        <w:t xml:space="preserve">כפרה על ביטול עשה </w:t>
      </w:r>
      <w:r w:rsidRPr="007F35DF">
        <w:rPr>
          <w:sz w:val="16"/>
          <w:szCs w:val="16"/>
          <w:rtl/>
        </w:rPr>
        <w:t xml:space="preserve">(ספרא, </w:t>
      </w:r>
      <w:proofErr w:type="spellStart"/>
      <w:r w:rsidRPr="007F35DF">
        <w:rPr>
          <w:sz w:val="16"/>
          <w:szCs w:val="16"/>
          <w:rtl/>
        </w:rPr>
        <w:t>דבורא</w:t>
      </w:r>
      <w:proofErr w:type="spellEnd"/>
      <w:r w:rsidRPr="007F35DF">
        <w:rPr>
          <w:sz w:val="16"/>
          <w:szCs w:val="16"/>
          <w:rtl/>
        </w:rPr>
        <w:t xml:space="preserve"> </w:t>
      </w:r>
      <w:proofErr w:type="spellStart"/>
      <w:r w:rsidRPr="007F35DF">
        <w:rPr>
          <w:sz w:val="16"/>
          <w:szCs w:val="16"/>
          <w:rtl/>
        </w:rPr>
        <w:t>דנדבה</w:t>
      </w:r>
      <w:proofErr w:type="spellEnd"/>
      <w:r w:rsidRPr="007F35DF">
        <w:rPr>
          <w:sz w:val="16"/>
          <w:szCs w:val="16"/>
          <w:rtl/>
        </w:rPr>
        <w:t>, פר' ג')</w:t>
      </w:r>
      <w:r w:rsidRPr="007F35DF">
        <w:rPr>
          <w:rtl/>
        </w:rPr>
        <w:t xml:space="preserve">. אולם בפשטי המקראות, קורבן העולה הוא קורבן נדבה, אשר קרב באופן וולונטרי למזבח. </w:t>
      </w:r>
    </w:p>
  </w:footnote>
  <w:footnote w:id="11">
    <w:p w14:paraId="7F439374" w14:textId="7A1864E5" w:rsidR="007F35DF" w:rsidRPr="007F35DF" w:rsidRDefault="007F35DF" w:rsidP="007F35DF">
      <w:pPr>
        <w:pStyle w:val="a3"/>
      </w:pPr>
      <w:r w:rsidRPr="007F35DF">
        <w:rPr>
          <w:rStyle w:val="a5"/>
          <w:rFonts w:eastAsia="Narkisim"/>
        </w:rPr>
        <w:footnoteRef/>
      </w:r>
      <w:r w:rsidRPr="007F35DF">
        <w:rPr>
          <w:rtl/>
        </w:rPr>
        <w:t xml:space="preserve"> </w:t>
      </w:r>
      <w:r>
        <w:rPr>
          <w:rtl/>
        </w:rPr>
        <w:tab/>
      </w:r>
      <w:r w:rsidRPr="007F35DF">
        <w:rPr>
          <w:rFonts w:hint="cs"/>
          <w:rtl/>
        </w:rPr>
        <w:t xml:space="preserve">באופן מפתיע צירוף זה נזכר גם באשם תלוי </w:t>
      </w:r>
      <w:r w:rsidRPr="007F35DF">
        <w:rPr>
          <w:rFonts w:hint="cs"/>
          <w:sz w:val="16"/>
          <w:szCs w:val="16"/>
          <w:rtl/>
        </w:rPr>
        <w:t xml:space="preserve">(ה', </w:t>
      </w:r>
      <w:proofErr w:type="spellStart"/>
      <w:r w:rsidRPr="007F35DF">
        <w:rPr>
          <w:rFonts w:hint="cs"/>
          <w:sz w:val="16"/>
          <w:szCs w:val="16"/>
          <w:rtl/>
        </w:rPr>
        <w:t>יז</w:t>
      </w:r>
      <w:proofErr w:type="spellEnd"/>
      <w:r w:rsidRPr="007F35DF">
        <w:rPr>
          <w:rFonts w:hint="cs"/>
          <w:sz w:val="16"/>
          <w:szCs w:val="16"/>
          <w:rtl/>
        </w:rPr>
        <w:t>)</w:t>
      </w:r>
      <w:r w:rsidRPr="007F35DF">
        <w:rPr>
          <w:rFonts w:hint="cs"/>
          <w:rtl/>
        </w:rPr>
        <w:t xml:space="preserve"> ויש לדון גם שם מדוע הכתוב מחמיר עם זה שכלל לא בטוח שחטא.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B2C9" w14:textId="77777777" w:rsidR="007F2FEF" w:rsidRDefault="007F2FE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1E5152">
      <w:rPr>
        <w:noProof/>
        <w:rtl/>
      </w:rPr>
      <w:t>3</w:t>
    </w:r>
    <w:r>
      <w:rPr>
        <w:rtl/>
      </w:rPr>
      <w:fldChar w:fldCharType="end"/>
    </w:r>
    <w:r>
      <w:rPr>
        <w:rtl/>
      </w:rPr>
      <w:t xml:space="preserve"> -</w:t>
    </w:r>
  </w:p>
  <w:p w14:paraId="453574CA" w14:textId="77777777" w:rsidR="002B0904" w:rsidRDefault="002B0904" w:rsidP="004056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2B0904" w:rsidRPr="006216C9" w:rsidRDefault="002B090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6"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40"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8"/>
  </w:num>
  <w:num w:numId="4">
    <w:abstractNumId w:val="7"/>
  </w:num>
  <w:num w:numId="5">
    <w:abstractNumId w:val="37"/>
  </w:num>
  <w:num w:numId="6">
    <w:abstractNumId w:val="28"/>
  </w:num>
  <w:num w:numId="7">
    <w:abstractNumId w:val="14"/>
  </w:num>
  <w:num w:numId="8">
    <w:abstractNumId w:val="25"/>
  </w:num>
  <w:num w:numId="9">
    <w:abstractNumId w:val="34"/>
  </w:num>
  <w:num w:numId="10">
    <w:abstractNumId w:val="18"/>
  </w:num>
  <w:num w:numId="11">
    <w:abstractNumId w:val="42"/>
  </w:num>
  <w:num w:numId="12">
    <w:abstractNumId w:val="33"/>
  </w:num>
  <w:num w:numId="13">
    <w:abstractNumId w:val="2"/>
  </w:num>
  <w:num w:numId="14">
    <w:abstractNumId w:val="30"/>
  </w:num>
  <w:num w:numId="15">
    <w:abstractNumId w:val="16"/>
  </w:num>
  <w:num w:numId="16">
    <w:abstractNumId w:val="40"/>
  </w:num>
  <w:num w:numId="17">
    <w:abstractNumId w:val="32"/>
  </w:num>
  <w:num w:numId="18">
    <w:abstractNumId w:val="20"/>
  </w:num>
  <w:num w:numId="19">
    <w:abstractNumId w:val="4"/>
  </w:num>
  <w:num w:numId="20">
    <w:abstractNumId w:val="10"/>
  </w:num>
  <w:num w:numId="21">
    <w:abstractNumId w:val="47"/>
  </w:num>
  <w:num w:numId="22">
    <w:abstractNumId w:val="22"/>
  </w:num>
  <w:num w:numId="23">
    <w:abstractNumId w:val="12"/>
  </w:num>
  <w:num w:numId="24">
    <w:abstractNumId w:val="41"/>
  </w:num>
  <w:num w:numId="25">
    <w:abstractNumId w:val="38"/>
  </w:num>
  <w:num w:numId="26">
    <w:abstractNumId w:val="11"/>
  </w:num>
  <w:num w:numId="27">
    <w:abstractNumId w:val="44"/>
  </w:num>
  <w:num w:numId="28">
    <w:abstractNumId w:val="43"/>
  </w:num>
  <w:num w:numId="29">
    <w:abstractNumId w:val="21"/>
  </w:num>
  <w:num w:numId="30">
    <w:abstractNumId w:val="19"/>
  </w:num>
  <w:num w:numId="31">
    <w:abstractNumId w:val="15"/>
  </w:num>
  <w:num w:numId="32">
    <w:abstractNumId w:val="3"/>
  </w:num>
  <w:num w:numId="33">
    <w:abstractNumId w:val="46"/>
  </w:num>
  <w:num w:numId="34">
    <w:abstractNumId w:val="27"/>
  </w:num>
  <w:num w:numId="35">
    <w:abstractNumId w:val="23"/>
  </w:num>
  <w:num w:numId="36">
    <w:abstractNumId w:val="24"/>
  </w:num>
  <w:num w:numId="37">
    <w:abstractNumId w:val="39"/>
  </w:num>
  <w:num w:numId="38">
    <w:abstractNumId w:val="6"/>
  </w:num>
  <w:num w:numId="39">
    <w:abstractNumId w:val="35"/>
  </w:num>
  <w:num w:numId="40">
    <w:abstractNumId w:val="17"/>
  </w:num>
  <w:num w:numId="41">
    <w:abstractNumId w:val="9"/>
  </w:num>
  <w:num w:numId="42">
    <w:abstractNumId w:val="45"/>
  </w:num>
  <w:num w:numId="43">
    <w:abstractNumId w:val="31"/>
  </w:num>
  <w:num w:numId="44">
    <w:abstractNumId w:val="36"/>
  </w:num>
  <w:num w:numId="45">
    <w:abstractNumId w:val="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13"/>
  </w:num>
  <w:num w:numId="49">
    <w:abstractNumId w:val="2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B5E"/>
    <w:rsid w:val="001C4E63"/>
    <w:rsid w:val="001C6C39"/>
    <w:rsid w:val="001E11C3"/>
    <w:rsid w:val="001E1D48"/>
    <w:rsid w:val="001E3883"/>
    <w:rsid w:val="001E5152"/>
    <w:rsid w:val="00203453"/>
    <w:rsid w:val="002115E2"/>
    <w:rsid w:val="00211DA7"/>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5D7"/>
    <w:rsid w:val="002F2680"/>
    <w:rsid w:val="002F7C51"/>
    <w:rsid w:val="002F7DBF"/>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A57E9"/>
    <w:rsid w:val="003A67F4"/>
    <w:rsid w:val="003A7237"/>
    <w:rsid w:val="003B10E1"/>
    <w:rsid w:val="003B38FF"/>
    <w:rsid w:val="003B4443"/>
    <w:rsid w:val="003B480F"/>
    <w:rsid w:val="003B482F"/>
    <w:rsid w:val="003B5490"/>
    <w:rsid w:val="003C07F9"/>
    <w:rsid w:val="003C1DF2"/>
    <w:rsid w:val="003C1F10"/>
    <w:rsid w:val="003C32D1"/>
    <w:rsid w:val="003C65D7"/>
    <w:rsid w:val="003D7E06"/>
    <w:rsid w:val="003E3654"/>
    <w:rsid w:val="003E6B7E"/>
    <w:rsid w:val="003E7DF7"/>
    <w:rsid w:val="003F0F92"/>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51C66"/>
    <w:rsid w:val="0045432D"/>
    <w:rsid w:val="00460362"/>
    <w:rsid w:val="00460E6D"/>
    <w:rsid w:val="00464F58"/>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194E"/>
    <w:rsid w:val="00573B7B"/>
    <w:rsid w:val="00575C0F"/>
    <w:rsid w:val="00576198"/>
    <w:rsid w:val="00576A9E"/>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53F3"/>
    <w:rsid w:val="005C5B0A"/>
    <w:rsid w:val="005C6015"/>
    <w:rsid w:val="005D120F"/>
    <w:rsid w:val="005D3CF2"/>
    <w:rsid w:val="005D4972"/>
    <w:rsid w:val="005D5801"/>
    <w:rsid w:val="005D5DBD"/>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284D"/>
    <w:rsid w:val="00656260"/>
    <w:rsid w:val="00657B50"/>
    <w:rsid w:val="00660BA1"/>
    <w:rsid w:val="00660BD6"/>
    <w:rsid w:val="00663423"/>
    <w:rsid w:val="00664FE2"/>
    <w:rsid w:val="00665F8F"/>
    <w:rsid w:val="00666CEB"/>
    <w:rsid w:val="00667557"/>
    <w:rsid w:val="00670555"/>
    <w:rsid w:val="0067070B"/>
    <w:rsid w:val="00670F7F"/>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8C3"/>
    <w:rsid w:val="006B4964"/>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6594"/>
    <w:rsid w:val="00731FFA"/>
    <w:rsid w:val="00732736"/>
    <w:rsid w:val="00737519"/>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1EEB"/>
    <w:rsid w:val="009038BC"/>
    <w:rsid w:val="00904182"/>
    <w:rsid w:val="009078BC"/>
    <w:rsid w:val="0091527C"/>
    <w:rsid w:val="009179AD"/>
    <w:rsid w:val="0092030C"/>
    <w:rsid w:val="00922523"/>
    <w:rsid w:val="00922FDE"/>
    <w:rsid w:val="00926A5D"/>
    <w:rsid w:val="0093096E"/>
    <w:rsid w:val="00933CB5"/>
    <w:rsid w:val="00942486"/>
    <w:rsid w:val="00944737"/>
    <w:rsid w:val="0094617E"/>
    <w:rsid w:val="009464C8"/>
    <w:rsid w:val="00950244"/>
    <w:rsid w:val="0095654A"/>
    <w:rsid w:val="009565EF"/>
    <w:rsid w:val="009608C5"/>
    <w:rsid w:val="00960A84"/>
    <w:rsid w:val="009611B3"/>
    <w:rsid w:val="0096284E"/>
    <w:rsid w:val="009652AE"/>
    <w:rsid w:val="00967C40"/>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8DC"/>
    <w:rsid w:val="009C7DF2"/>
    <w:rsid w:val="009D18C3"/>
    <w:rsid w:val="009D49AE"/>
    <w:rsid w:val="009D5639"/>
    <w:rsid w:val="009D5EF8"/>
    <w:rsid w:val="009D72D0"/>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A9C"/>
    <w:rsid w:val="00AF38C2"/>
    <w:rsid w:val="00AF3EDA"/>
    <w:rsid w:val="00AF4646"/>
    <w:rsid w:val="00AF4F8B"/>
    <w:rsid w:val="00AF573F"/>
    <w:rsid w:val="00AF65BD"/>
    <w:rsid w:val="00B006CF"/>
    <w:rsid w:val="00B01054"/>
    <w:rsid w:val="00B01A63"/>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5366"/>
    <w:rsid w:val="00B35C47"/>
    <w:rsid w:val="00B36EAE"/>
    <w:rsid w:val="00B404B0"/>
    <w:rsid w:val="00B46B08"/>
    <w:rsid w:val="00B506C1"/>
    <w:rsid w:val="00B54C6C"/>
    <w:rsid w:val="00B5550A"/>
    <w:rsid w:val="00B602E5"/>
    <w:rsid w:val="00B63160"/>
    <w:rsid w:val="00B6457B"/>
    <w:rsid w:val="00B66196"/>
    <w:rsid w:val="00B66A50"/>
    <w:rsid w:val="00B66BAE"/>
    <w:rsid w:val="00B74501"/>
    <w:rsid w:val="00B768C2"/>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E97"/>
    <w:rsid w:val="00BE35D3"/>
    <w:rsid w:val="00BE62BC"/>
    <w:rsid w:val="00BF08BD"/>
    <w:rsid w:val="00BF251F"/>
    <w:rsid w:val="00BF58B6"/>
    <w:rsid w:val="00C00364"/>
    <w:rsid w:val="00C028C7"/>
    <w:rsid w:val="00C02AD6"/>
    <w:rsid w:val="00C02D94"/>
    <w:rsid w:val="00C03545"/>
    <w:rsid w:val="00C1023C"/>
    <w:rsid w:val="00C12029"/>
    <w:rsid w:val="00C20987"/>
    <w:rsid w:val="00C26085"/>
    <w:rsid w:val="00C320DF"/>
    <w:rsid w:val="00C354A3"/>
    <w:rsid w:val="00C36DAD"/>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151FC"/>
    <w:rsid w:val="00D25526"/>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291E"/>
    <w:rsid w:val="00D72C26"/>
    <w:rsid w:val="00D72CBA"/>
    <w:rsid w:val="00D73A0A"/>
    <w:rsid w:val="00D774DD"/>
    <w:rsid w:val="00D84B04"/>
    <w:rsid w:val="00D8770D"/>
    <w:rsid w:val="00D87FB2"/>
    <w:rsid w:val="00D93018"/>
    <w:rsid w:val="00D9632B"/>
    <w:rsid w:val="00DA0136"/>
    <w:rsid w:val="00DA077C"/>
    <w:rsid w:val="00DA07D3"/>
    <w:rsid w:val="00DB0322"/>
    <w:rsid w:val="00DB6C23"/>
    <w:rsid w:val="00DB71CD"/>
    <w:rsid w:val="00DB7921"/>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0C50-8751-4B26-A433-1B024677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1559</Words>
  <Characters>7799</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9340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5</cp:revision>
  <cp:lastPrinted>2001-10-24T10:13:00Z</cp:lastPrinted>
  <dcterms:created xsi:type="dcterms:W3CDTF">2018-05-23T19:53:00Z</dcterms:created>
  <dcterms:modified xsi:type="dcterms:W3CDTF">2018-05-23T20:53:00Z</dcterms:modified>
</cp:coreProperties>
</file>