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667B55" w14:textId="77777777" w:rsidR="00E8595A" w:rsidRDefault="00E8595A" w:rsidP="008819EE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 w:bidi="he-IL"/>
        </w:rPr>
        <w:t>YESHIVAT HAR ETZION</w:t>
      </w:r>
    </w:p>
    <w:p w14:paraId="01961BE9" w14:textId="77777777" w:rsidR="00E8595A" w:rsidRDefault="00E8595A" w:rsidP="008819EE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 w:bidi="he-IL"/>
        </w:rPr>
        <w:t>ISRAEL KOSCHITZKY VIRTUAL BEIT MIDRASH (VBM)</w:t>
      </w:r>
    </w:p>
    <w:p w14:paraId="76B97DAD" w14:textId="77777777" w:rsidR="00E8595A" w:rsidRDefault="00E8595A" w:rsidP="008819EE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 w:bidi="he-IL"/>
        </w:rPr>
        <w:t>*********************************************************</w:t>
      </w:r>
    </w:p>
    <w:p w14:paraId="4517535B" w14:textId="77777777" w:rsidR="00E8595A" w:rsidRDefault="00E8595A" w:rsidP="008819EE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  <w:lang w:bidi="he-IL"/>
        </w:rPr>
      </w:pPr>
    </w:p>
    <w:p w14:paraId="2AE592AA" w14:textId="77777777" w:rsidR="00E8595A" w:rsidRDefault="00E8595A" w:rsidP="008819EE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b/>
          <w:bCs/>
          <w:i/>
          <w:iCs/>
          <w:caps/>
          <w:color w:val="222222"/>
          <w:sz w:val="24"/>
          <w:szCs w:val="24"/>
          <w:lang w:bidi="he-IL"/>
        </w:rPr>
        <w:t>SHIVAT TZION</w:t>
      </w:r>
      <w:r>
        <w:rPr>
          <w:rFonts w:asciiTheme="minorBidi" w:eastAsia="Times New Roman" w:hAnsiTheme="minorBidi" w:cstheme="minorBidi"/>
          <w:b/>
          <w:bCs/>
          <w:caps/>
          <w:color w:val="222222"/>
          <w:sz w:val="24"/>
          <w:szCs w:val="24"/>
          <w:lang w:bidi="he-IL"/>
        </w:rPr>
        <w:t>:</w:t>
      </w:r>
    </w:p>
    <w:p w14:paraId="44385DF9" w14:textId="77777777" w:rsidR="00E8595A" w:rsidRDefault="00E8595A" w:rsidP="008819EE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b/>
          <w:bCs/>
          <w:caps/>
          <w:color w:val="222222"/>
          <w:sz w:val="24"/>
          <w:szCs w:val="24"/>
          <w:lang w:bidi="he-IL"/>
        </w:rPr>
        <w:t>INTRODUCTION TO THE PROPHETS OF THE RETURN TO ZION</w:t>
      </w:r>
    </w:p>
    <w:p w14:paraId="4179E79C" w14:textId="77777777" w:rsidR="00E8595A" w:rsidRDefault="00E8595A" w:rsidP="008819EE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lang w:bidi="he-IL"/>
        </w:rPr>
      </w:pPr>
      <w:r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lang w:bidi="he-IL"/>
        </w:rPr>
        <w:t>By Rav Tzvi Sinensky</w:t>
      </w:r>
    </w:p>
    <w:p w14:paraId="7CB71074" w14:textId="77777777" w:rsidR="00E8595A" w:rsidRDefault="00E8595A" w:rsidP="008819EE">
      <w:pPr>
        <w:pStyle w:val="Normal1"/>
        <w:tabs>
          <w:tab w:val="left" w:pos="720"/>
        </w:tabs>
        <w:spacing w:line="240" w:lineRule="auto"/>
        <w:jc w:val="center"/>
        <w:rPr>
          <w:b/>
          <w:sz w:val="24"/>
          <w:szCs w:val="24"/>
        </w:rPr>
      </w:pPr>
    </w:p>
    <w:p w14:paraId="2F5FC071" w14:textId="77777777" w:rsidR="00E8595A" w:rsidRDefault="00E8595A" w:rsidP="008819EE">
      <w:pPr>
        <w:pStyle w:val="Normal1"/>
        <w:tabs>
          <w:tab w:val="left" w:pos="720"/>
        </w:tabs>
        <w:spacing w:line="240" w:lineRule="auto"/>
        <w:jc w:val="center"/>
        <w:rPr>
          <w:b/>
          <w:sz w:val="24"/>
          <w:szCs w:val="24"/>
        </w:rPr>
      </w:pPr>
    </w:p>
    <w:p w14:paraId="66755150" w14:textId="7CE44723" w:rsidR="00484D69" w:rsidRPr="006150B6" w:rsidRDefault="00004C7C" w:rsidP="008819EE">
      <w:pPr>
        <w:pStyle w:val="Normal1"/>
        <w:tabs>
          <w:tab w:val="left" w:pos="72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Shiu</w:t>
      </w:r>
      <w:r w:rsidR="00E8595A">
        <w:rPr>
          <w:b/>
          <w:sz w:val="24"/>
          <w:szCs w:val="24"/>
        </w:rPr>
        <w:t xml:space="preserve">r #25: </w:t>
      </w:r>
      <w:r w:rsidR="00484D69" w:rsidRPr="00484D69">
        <w:rPr>
          <w:b/>
          <w:sz w:val="24"/>
          <w:szCs w:val="24"/>
        </w:rPr>
        <w:t>The Oath</w:t>
      </w:r>
      <w:r w:rsidR="006150B6">
        <w:rPr>
          <w:b/>
          <w:sz w:val="24"/>
          <w:szCs w:val="24"/>
        </w:rPr>
        <w:t xml:space="preserve"> (</w:t>
      </w:r>
      <w:r w:rsidR="006150B6">
        <w:rPr>
          <w:b/>
          <w:i/>
          <w:iCs/>
          <w:sz w:val="24"/>
          <w:szCs w:val="24"/>
        </w:rPr>
        <w:t>Nechemia</w:t>
      </w:r>
      <w:r w:rsidR="006150B6">
        <w:rPr>
          <w:b/>
          <w:sz w:val="24"/>
          <w:szCs w:val="24"/>
        </w:rPr>
        <w:t xml:space="preserve"> ch. 10)</w:t>
      </w:r>
    </w:p>
    <w:p w14:paraId="3DBD6758" w14:textId="77777777" w:rsidR="00484D69" w:rsidRDefault="00484D69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5788BF48" w14:textId="77777777" w:rsidR="00E8595A" w:rsidRPr="00484D69" w:rsidRDefault="00E8595A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18496AD2" w14:textId="5393C0B9" w:rsidR="00D12F31" w:rsidRPr="00004C7C" w:rsidRDefault="00D12F31" w:rsidP="008819EE">
      <w:pPr>
        <w:pStyle w:val="Normal1"/>
        <w:tabs>
          <w:tab w:val="left" w:pos="720"/>
        </w:tabs>
        <w:spacing w:line="240" w:lineRule="auto"/>
        <w:jc w:val="both"/>
        <w:rPr>
          <w:b/>
          <w:sz w:val="24"/>
          <w:szCs w:val="24"/>
        </w:rPr>
      </w:pPr>
      <w:r w:rsidRPr="00004C7C">
        <w:rPr>
          <w:b/>
          <w:sz w:val="24"/>
          <w:szCs w:val="24"/>
        </w:rPr>
        <w:t>Summary</w:t>
      </w:r>
    </w:p>
    <w:p w14:paraId="4E43E025" w14:textId="77777777" w:rsidR="00D12F31" w:rsidRDefault="00D12F31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39A684AE" w14:textId="38B67695" w:rsidR="00F41E24" w:rsidRDefault="00D12F31" w:rsidP="008819EE">
      <w:pPr>
        <w:pStyle w:val="Normal1"/>
        <w:tabs>
          <w:tab w:val="left" w:pos="720"/>
        </w:tabs>
        <w:spacing w:line="240" w:lineRule="auto"/>
        <w:ind w:firstLine="720"/>
        <w:jc w:val="both"/>
        <w:rPr>
          <w:sz w:val="24"/>
          <w:szCs w:val="24"/>
        </w:rPr>
      </w:pPr>
      <w:r w:rsidRPr="00042B4C">
        <w:rPr>
          <w:i/>
          <w:sz w:val="24"/>
          <w:szCs w:val="24"/>
        </w:rPr>
        <w:t>Nechemia</w:t>
      </w:r>
      <w:r>
        <w:rPr>
          <w:sz w:val="24"/>
          <w:szCs w:val="24"/>
        </w:rPr>
        <w:t xml:space="preserve"> chapter </w:t>
      </w:r>
      <w:r w:rsidR="006150B6">
        <w:rPr>
          <w:sz w:val="24"/>
          <w:szCs w:val="24"/>
        </w:rPr>
        <w:t>10</w:t>
      </w:r>
      <w:r>
        <w:rPr>
          <w:sz w:val="24"/>
          <w:szCs w:val="24"/>
        </w:rPr>
        <w:t>, perhaps the climax of the</w:t>
      </w:r>
      <w:r w:rsidR="00484261">
        <w:rPr>
          <w:sz w:val="24"/>
          <w:szCs w:val="24"/>
        </w:rPr>
        <w:t xml:space="preserve"> nation</w:t>
      </w:r>
      <w:r>
        <w:rPr>
          <w:sz w:val="24"/>
          <w:szCs w:val="24"/>
        </w:rPr>
        <w:t>’s renewed commitment</w:t>
      </w:r>
      <w:r w:rsidR="00227D9F">
        <w:rPr>
          <w:sz w:val="24"/>
          <w:szCs w:val="24"/>
        </w:rPr>
        <w:t xml:space="preserve"> to Torah</w:t>
      </w:r>
      <w:r>
        <w:rPr>
          <w:sz w:val="24"/>
          <w:szCs w:val="24"/>
        </w:rPr>
        <w:t>, summarizes the binding oath accepted by the community. The bulk of the chapter lists 84 prominent signatories.</w:t>
      </w:r>
      <w:r w:rsidR="00484261">
        <w:rPr>
          <w:sz w:val="24"/>
          <w:szCs w:val="24"/>
        </w:rPr>
        <w:t xml:space="preserve"> Afterward</w:t>
      </w:r>
      <w:r w:rsidR="002946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“the rest of the people” signed as well. </w:t>
      </w:r>
      <w:bookmarkStart w:id="0" w:name="_GoBack"/>
      <w:bookmarkEnd w:id="0"/>
    </w:p>
    <w:p w14:paraId="591CAAEA" w14:textId="77777777" w:rsidR="00D12F31" w:rsidRDefault="00D12F31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3BD5C31A" w14:textId="249FF5C1" w:rsidR="00D12F31" w:rsidRDefault="00D12F31" w:rsidP="008819EE">
      <w:pPr>
        <w:pStyle w:val="Normal1"/>
        <w:tabs>
          <w:tab w:val="left" w:pos="720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chapter’s final ten verses </w:t>
      </w:r>
      <w:r w:rsidR="002946DD">
        <w:rPr>
          <w:sz w:val="24"/>
          <w:szCs w:val="24"/>
        </w:rPr>
        <w:t>review the contents of the oath.</w:t>
      </w:r>
      <w:r w:rsidR="008518BE">
        <w:rPr>
          <w:sz w:val="24"/>
          <w:szCs w:val="24"/>
        </w:rPr>
        <w:t xml:space="preserve"> </w:t>
      </w:r>
      <w:r w:rsidR="002946DD">
        <w:rPr>
          <w:sz w:val="24"/>
          <w:szCs w:val="24"/>
        </w:rPr>
        <w:t>The Jews commit</w:t>
      </w:r>
      <w:r w:rsidR="008518BE">
        <w:rPr>
          <w:sz w:val="24"/>
          <w:szCs w:val="24"/>
        </w:rPr>
        <w:t xml:space="preserve"> to refrain from intermarriage, avoid engaging</w:t>
      </w:r>
      <w:r w:rsidR="002946DD">
        <w:rPr>
          <w:sz w:val="24"/>
          <w:szCs w:val="24"/>
        </w:rPr>
        <w:t xml:space="preserve"> in commercial transactions</w:t>
      </w:r>
      <w:r w:rsidR="008518BE">
        <w:rPr>
          <w:sz w:val="24"/>
          <w:szCs w:val="24"/>
        </w:rPr>
        <w:t xml:space="preserve"> on Shabbat, observe </w:t>
      </w:r>
      <w:r w:rsidR="006150B6">
        <w:rPr>
          <w:i/>
          <w:sz w:val="24"/>
          <w:szCs w:val="24"/>
        </w:rPr>
        <w:t>s</w:t>
      </w:r>
      <w:r w:rsidR="008518BE" w:rsidRPr="008518BE">
        <w:rPr>
          <w:i/>
          <w:sz w:val="24"/>
          <w:szCs w:val="24"/>
        </w:rPr>
        <w:t>h</w:t>
      </w:r>
      <w:r w:rsidR="006150B6">
        <w:rPr>
          <w:i/>
          <w:sz w:val="24"/>
          <w:szCs w:val="24"/>
        </w:rPr>
        <w:t>e</w:t>
      </w:r>
      <w:r w:rsidR="008518BE" w:rsidRPr="008518BE">
        <w:rPr>
          <w:i/>
          <w:sz w:val="24"/>
          <w:szCs w:val="24"/>
        </w:rPr>
        <w:t>mit</w:t>
      </w:r>
      <w:r w:rsidR="006150B6">
        <w:rPr>
          <w:i/>
          <w:sz w:val="24"/>
          <w:szCs w:val="24"/>
        </w:rPr>
        <w:t>t</w:t>
      </w:r>
      <w:r w:rsidR="008518BE" w:rsidRPr="008518BE">
        <w:rPr>
          <w:i/>
          <w:sz w:val="24"/>
          <w:szCs w:val="24"/>
        </w:rPr>
        <w:t xml:space="preserve">a </w:t>
      </w:r>
      <w:r w:rsidR="008518BE">
        <w:rPr>
          <w:sz w:val="24"/>
          <w:szCs w:val="24"/>
        </w:rPr>
        <w:t xml:space="preserve">properly, donate one-third </w:t>
      </w:r>
      <w:r w:rsidR="008518BE" w:rsidRPr="008518BE">
        <w:rPr>
          <w:i/>
          <w:sz w:val="24"/>
          <w:szCs w:val="24"/>
        </w:rPr>
        <w:t>shekel</w:t>
      </w:r>
      <w:r w:rsidR="008518BE">
        <w:rPr>
          <w:sz w:val="24"/>
          <w:szCs w:val="24"/>
        </w:rPr>
        <w:t xml:space="preserve"> annually to the Temple treasury, offer the Temple’s wood offering </w:t>
      </w:r>
      <w:r w:rsidR="002A75AF">
        <w:rPr>
          <w:sz w:val="24"/>
          <w:szCs w:val="24"/>
        </w:rPr>
        <w:t>on a rotating basis, and contribute</w:t>
      </w:r>
      <w:r w:rsidR="008518BE">
        <w:rPr>
          <w:sz w:val="24"/>
          <w:szCs w:val="24"/>
        </w:rPr>
        <w:t xml:space="preserve"> the first</w:t>
      </w:r>
      <w:r w:rsidR="006150B6">
        <w:rPr>
          <w:sz w:val="24"/>
          <w:szCs w:val="24"/>
        </w:rPr>
        <w:t>-</w:t>
      </w:r>
      <w:r w:rsidR="008518BE">
        <w:rPr>
          <w:sz w:val="24"/>
          <w:szCs w:val="24"/>
        </w:rPr>
        <w:t>fruits, firstborn sacrifices</w:t>
      </w:r>
      <w:r w:rsidR="006150B6">
        <w:rPr>
          <w:sz w:val="24"/>
          <w:szCs w:val="24"/>
        </w:rPr>
        <w:t>,</w:t>
      </w:r>
      <w:r w:rsidR="008518BE">
        <w:rPr>
          <w:sz w:val="24"/>
          <w:szCs w:val="24"/>
        </w:rPr>
        <w:t xml:space="preserve"> and tithes</w:t>
      </w:r>
      <w:r w:rsidR="00F81B56">
        <w:rPr>
          <w:sz w:val="24"/>
          <w:szCs w:val="24"/>
        </w:rPr>
        <w:t>.</w:t>
      </w:r>
    </w:p>
    <w:p w14:paraId="5CDA80EC" w14:textId="77777777" w:rsidR="001E179F" w:rsidRDefault="001E179F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4590BE18" w14:textId="27A3A77C" w:rsidR="001E179F" w:rsidRDefault="00DE3ED0" w:rsidP="008819EE">
      <w:pPr>
        <w:pStyle w:val="Normal1"/>
        <w:tabs>
          <w:tab w:val="left" w:pos="720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noteworthy that </w:t>
      </w:r>
      <w:r w:rsidR="00F0403F">
        <w:rPr>
          <w:sz w:val="24"/>
          <w:szCs w:val="24"/>
        </w:rPr>
        <w:t xml:space="preserve">Nechemia’s name appears among the 84 signatories, </w:t>
      </w:r>
      <w:r w:rsidR="002A75AF"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not </w:t>
      </w:r>
      <w:r w:rsidR="002A75AF">
        <w:rPr>
          <w:sz w:val="24"/>
          <w:szCs w:val="24"/>
        </w:rPr>
        <w:t xml:space="preserve">that of </w:t>
      </w:r>
      <w:r>
        <w:rPr>
          <w:sz w:val="24"/>
          <w:szCs w:val="24"/>
        </w:rPr>
        <w:t xml:space="preserve">Ezra. At first glance, this seems to support the critical view that </w:t>
      </w:r>
      <w:r w:rsidR="00F0403F">
        <w:rPr>
          <w:sz w:val="24"/>
          <w:szCs w:val="24"/>
        </w:rPr>
        <w:t xml:space="preserve">the two leaders </w:t>
      </w:r>
      <w:r>
        <w:rPr>
          <w:sz w:val="24"/>
          <w:szCs w:val="24"/>
        </w:rPr>
        <w:t xml:space="preserve">lived at different times. In fact, </w:t>
      </w:r>
      <w:r w:rsidR="00F0403F">
        <w:rPr>
          <w:sz w:val="24"/>
          <w:szCs w:val="24"/>
        </w:rPr>
        <w:t>however</w:t>
      </w:r>
      <w:r>
        <w:rPr>
          <w:sz w:val="24"/>
          <w:szCs w:val="24"/>
        </w:rPr>
        <w:t xml:space="preserve">, it </w:t>
      </w:r>
      <w:r w:rsidR="00954969">
        <w:rPr>
          <w:sz w:val="24"/>
          <w:szCs w:val="24"/>
        </w:rPr>
        <w:t>stands to reason that Ezra would not have signed even had he been present</w:t>
      </w:r>
      <w:r>
        <w:rPr>
          <w:sz w:val="24"/>
          <w:szCs w:val="24"/>
        </w:rPr>
        <w:t>. Ezra is the lawgiver who, like Moshe, stands above the nation.</w:t>
      </w:r>
      <w:r w:rsidR="00954969">
        <w:rPr>
          <w:sz w:val="24"/>
          <w:szCs w:val="24"/>
        </w:rPr>
        <w:t xml:space="preserve"> Arguably, it would have been </w:t>
      </w:r>
      <w:r>
        <w:rPr>
          <w:sz w:val="24"/>
          <w:szCs w:val="24"/>
        </w:rPr>
        <w:t>inappropriate for him to</w:t>
      </w:r>
      <w:r w:rsidR="00A15EDD">
        <w:rPr>
          <w:sz w:val="24"/>
          <w:szCs w:val="24"/>
        </w:rPr>
        <w:t xml:space="preserve"> sign</w:t>
      </w:r>
      <w:r>
        <w:rPr>
          <w:sz w:val="24"/>
          <w:szCs w:val="24"/>
        </w:rPr>
        <w:t>. Nechemia, by contrast,</w:t>
      </w:r>
      <w:r w:rsidR="00A15EDD">
        <w:rPr>
          <w:sz w:val="24"/>
          <w:szCs w:val="24"/>
        </w:rPr>
        <w:t xml:space="preserve"> is a political </w:t>
      </w:r>
      <w:r w:rsidR="00167776">
        <w:rPr>
          <w:sz w:val="24"/>
          <w:szCs w:val="24"/>
        </w:rPr>
        <w:t>leader</w:t>
      </w:r>
      <w:r w:rsidR="006150B6">
        <w:rPr>
          <w:sz w:val="24"/>
          <w:szCs w:val="24"/>
        </w:rPr>
        <w:t>,</w:t>
      </w:r>
      <w:r w:rsidR="00167776">
        <w:rPr>
          <w:sz w:val="24"/>
          <w:szCs w:val="24"/>
        </w:rPr>
        <w:t xml:space="preserve"> and therefore fit to endorse the proceedings</w:t>
      </w:r>
      <w:r>
        <w:rPr>
          <w:sz w:val="24"/>
          <w:szCs w:val="24"/>
        </w:rPr>
        <w:t xml:space="preserve">. </w:t>
      </w:r>
    </w:p>
    <w:p w14:paraId="13E44890" w14:textId="77777777" w:rsidR="00DE3ED0" w:rsidRDefault="00DE3ED0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37C07E40" w14:textId="4C5D06A1" w:rsidR="00DE3ED0" w:rsidRDefault="00A44BD8" w:rsidP="008819EE">
      <w:pPr>
        <w:pStyle w:val="Normal1"/>
        <w:tabs>
          <w:tab w:val="left" w:pos="720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239D2">
        <w:rPr>
          <w:sz w:val="24"/>
          <w:szCs w:val="24"/>
        </w:rPr>
        <w:t xml:space="preserve">erses 29-31 </w:t>
      </w:r>
      <w:r>
        <w:rPr>
          <w:sz w:val="24"/>
          <w:szCs w:val="24"/>
        </w:rPr>
        <w:t xml:space="preserve">are </w:t>
      </w:r>
      <w:r w:rsidR="00DE3ED0">
        <w:rPr>
          <w:sz w:val="24"/>
          <w:szCs w:val="24"/>
        </w:rPr>
        <w:t>highly reminiscent of</w:t>
      </w:r>
      <w:r w:rsidR="008651E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language </w:t>
      </w:r>
      <w:r w:rsidR="008651EE">
        <w:rPr>
          <w:sz w:val="24"/>
          <w:szCs w:val="24"/>
        </w:rPr>
        <w:t xml:space="preserve">and terminology of </w:t>
      </w:r>
      <w:r w:rsidR="008651EE" w:rsidRPr="008651EE">
        <w:rPr>
          <w:i/>
          <w:sz w:val="24"/>
          <w:szCs w:val="24"/>
        </w:rPr>
        <w:t>Ezra</w:t>
      </w:r>
      <w:r w:rsidR="008C5B29">
        <w:rPr>
          <w:sz w:val="24"/>
          <w:szCs w:val="24"/>
        </w:rPr>
        <w:t xml:space="preserve">, reinforcing </w:t>
      </w:r>
      <w:r w:rsidR="00E13D06">
        <w:rPr>
          <w:sz w:val="24"/>
          <w:szCs w:val="24"/>
        </w:rPr>
        <w:t xml:space="preserve">our assertion </w:t>
      </w:r>
      <w:r w:rsidR="008C5B29">
        <w:rPr>
          <w:sz w:val="24"/>
          <w:szCs w:val="24"/>
        </w:rPr>
        <w:t xml:space="preserve">that Ezra </w:t>
      </w:r>
      <w:r w:rsidR="00E13D06">
        <w:rPr>
          <w:sz w:val="24"/>
          <w:szCs w:val="24"/>
        </w:rPr>
        <w:t xml:space="preserve">was likely present at </w:t>
      </w:r>
      <w:r w:rsidR="008C5B29">
        <w:rPr>
          <w:sz w:val="24"/>
          <w:szCs w:val="24"/>
        </w:rPr>
        <w:t>the ceremony</w:t>
      </w:r>
      <w:r w:rsidR="00DE3ED0">
        <w:rPr>
          <w:sz w:val="24"/>
          <w:szCs w:val="24"/>
        </w:rPr>
        <w:t>.</w:t>
      </w:r>
      <w:r w:rsidR="0003426F">
        <w:rPr>
          <w:sz w:val="24"/>
          <w:szCs w:val="24"/>
        </w:rPr>
        <w:t xml:space="preserve"> </w:t>
      </w:r>
      <w:r w:rsidR="00484261">
        <w:rPr>
          <w:sz w:val="24"/>
          <w:szCs w:val="24"/>
        </w:rPr>
        <w:t>Those similarities include</w:t>
      </w:r>
      <w:r w:rsidR="0003426F">
        <w:rPr>
          <w:sz w:val="24"/>
          <w:szCs w:val="24"/>
        </w:rPr>
        <w:t>:</w:t>
      </w:r>
      <w:r w:rsidR="00DE3ED0">
        <w:rPr>
          <w:sz w:val="24"/>
          <w:szCs w:val="24"/>
        </w:rPr>
        <w:t xml:space="preserve"> </w:t>
      </w:r>
      <w:r w:rsidR="0003426F">
        <w:rPr>
          <w:sz w:val="24"/>
          <w:szCs w:val="24"/>
        </w:rPr>
        <w:t>t</w:t>
      </w:r>
      <w:r w:rsidR="007239D2">
        <w:rPr>
          <w:sz w:val="24"/>
          <w:szCs w:val="24"/>
        </w:rPr>
        <w:t>he list of Jews from the</w:t>
      </w:r>
      <w:r w:rsidR="00E13D06">
        <w:rPr>
          <w:sz w:val="24"/>
          <w:szCs w:val="24"/>
        </w:rPr>
        <w:t xml:space="preserve"> full gamut</w:t>
      </w:r>
      <w:r w:rsidR="006150B6">
        <w:rPr>
          <w:sz w:val="24"/>
          <w:szCs w:val="24"/>
        </w:rPr>
        <w:t>,</w:t>
      </w:r>
      <w:r w:rsidR="00E13D06">
        <w:rPr>
          <w:sz w:val="24"/>
          <w:szCs w:val="24"/>
        </w:rPr>
        <w:t xml:space="preserve"> including Levites, g</w:t>
      </w:r>
      <w:r w:rsidR="007239D2">
        <w:rPr>
          <w:sz w:val="24"/>
          <w:szCs w:val="24"/>
        </w:rPr>
        <w:t>at</w:t>
      </w:r>
      <w:r w:rsidR="006530B0">
        <w:rPr>
          <w:sz w:val="24"/>
          <w:szCs w:val="24"/>
        </w:rPr>
        <w:t>ekeepers and Netinim; the emphas</w:t>
      </w:r>
      <w:r w:rsidR="00BB627F">
        <w:rPr>
          <w:sz w:val="24"/>
          <w:szCs w:val="24"/>
        </w:rPr>
        <w:t xml:space="preserve">is on the signatories having included </w:t>
      </w:r>
      <w:r w:rsidR="007239D2">
        <w:rPr>
          <w:sz w:val="24"/>
          <w:szCs w:val="24"/>
        </w:rPr>
        <w:t xml:space="preserve">“all those with understanding”; the description of Torah </w:t>
      </w:r>
      <w:r w:rsidR="000871A2">
        <w:rPr>
          <w:sz w:val="24"/>
          <w:szCs w:val="24"/>
        </w:rPr>
        <w:t xml:space="preserve">as having been </w:t>
      </w:r>
      <w:r w:rsidR="007239D2">
        <w:rPr>
          <w:sz w:val="24"/>
          <w:szCs w:val="24"/>
        </w:rPr>
        <w:t xml:space="preserve">“given in the hand of </w:t>
      </w:r>
      <w:r w:rsidR="001A54C8">
        <w:rPr>
          <w:sz w:val="24"/>
          <w:szCs w:val="24"/>
        </w:rPr>
        <w:t xml:space="preserve">Moshe the servant of God”; and </w:t>
      </w:r>
      <w:r w:rsidR="007239D2">
        <w:rPr>
          <w:sz w:val="24"/>
          <w:szCs w:val="24"/>
        </w:rPr>
        <w:t>the emphasis on the scourge of intermarriage.</w:t>
      </w:r>
      <w:r w:rsidR="002E3E42">
        <w:rPr>
          <w:sz w:val="24"/>
          <w:szCs w:val="24"/>
        </w:rPr>
        <w:t xml:space="preserve"> The</w:t>
      </w:r>
      <w:r w:rsidR="006530B0">
        <w:rPr>
          <w:sz w:val="24"/>
          <w:szCs w:val="24"/>
        </w:rPr>
        <w:t xml:space="preserve"> parallels to</w:t>
      </w:r>
      <w:r w:rsidR="00740254">
        <w:rPr>
          <w:sz w:val="24"/>
          <w:szCs w:val="24"/>
        </w:rPr>
        <w:t xml:space="preserve"> </w:t>
      </w:r>
      <w:r w:rsidR="00740254" w:rsidRPr="00740254">
        <w:rPr>
          <w:i/>
          <w:sz w:val="24"/>
          <w:szCs w:val="24"/>
        </w:rPr>
        <w:t>Ezra</w:t>
      </w:r>
      <w:r w:rsidR="002D00DF">
        <w:rPr>
          <w:sz w:val="24"/>
          <w:szCs w:val="24"/>
        </w:rPr>
        <w:t xml:space="preserve"> strengthen</w:t>
      </w:r>
      <w:r w:rsidR="006530B0">
        <w:rPr>
          <w:sz w:val="24"/>
          <w:szCs w:val="24"/>
        </w:rPr>
        <w:t xml:space="preserve"> our </w:t>
      </w:r>
      <w:r w:rsidR="00DD1FB6">
        <w:rPr>
          <w:sz w:val="24"/>
          <w:szCs w:val="24"/>
        </w:rPr>
        <w:t xml:space="preserve">impression </w:t>
      </w:r>
      <w:r w:rsidR="006530B0">
        <w:rPr>
          <w:sz w:val="24"/>
          <w:szCs w:val="24"/>
        </w:rPr>
        <w:t xml:space="preserve">that </w:t>
      </w:r>
      <w:r w:rsidR="0078007F">
        <w:rPr>
          <w:sz w:val="24"/>
          <w:szCs w:val="24"/>
        </w:rPr>
        <w:t xml:space="preserve">the leader’s </w:t>
      </w:r>
      <w:r w:rsidR="006530B0">
        <w:rPr>
          <w:sz w:val="24"/>
          <w:szCs w:val="24"/>
        </w:rPr>
        <w:t xml:space="preserve">absence from the list of </w:t>
      </w:r>
      <w:r w:rsidR="001A54C8">
        <w:rPr>
          <w:sz w:val="24"/>
          <w:szCs w:val="24"/>
        </w:rPr>
        <w:t xml:space="preserve">those who signed </w:t>
      </w:r>
      <w:r w:rsidR="006530B0">
        <w:rPr>
          <w:sz w:val="24"/>
          <w:szCs w:val="24"/>
        </w:rPr>
        <w:t xml:space="preserve">in no way </w:t>
      </w:r>
      <w:r w:rsidR="00922620">
        <w:rPr>
          <w:sz w:val="24"/>
          <w:szCs w:val="24"/>
        </w:rPr>
        <w:t xml:space="preserve">implies that he was irrelevant </w:t>
      </w:r>
      <w:r w:rsidR="006530B0">
        <w:rPr>
          <w:sz w:val="24"/>
          <w:szCs w:val="24"/>
        </w:rPr>
        <w:t xml:space="preserve">to the proceedings. </w:t>
      </w:r>
    </w:p>
    <w:p w14:paraId="6DE44A95" w14:textId="77777777" w:rsidR="006530B0" w:rsidRDefault="006530B0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6A0E252C" w14:textId="6AFB8374" w:rsidR="006530B0" w:rsidRDefault="006150B6" w:rsidP="008819EE">
      <w:pPr>
        <w:pStyle w:val="Normal1"/>
        <w:tabs>
          <w:tab w:val="left" w:pos="72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Conversion</w:t>
      </w:r>
    </w:p>
    <w:p w14:paraId="4D514852" w14:textId="77777777" w:rsidR="00AB0A20" w:rsidRDefault="00AB0A20" w:rsidP="008819EE">
      <w:pPr>
        <w:pStyle w:val="Normal1"/>
        <w:tabs>
          <w:tab w:val="left" w:pos="720"/>
        </w:tabs>
        <w:spacing w:line="240" w:lineRule="auto"/>
        <w:jc w:val="both"/>
        <w:rPr>
          <w:b/>
          <w:sz w:val="24"/>
          <w:szCs w:val="24"/>
        </w:rPr>
      </w:pPr>
    </w:p>
    <w:p w14:paraId="73A2D5FF" w14:textId="723390B3" w:rsidR="006530B0" w:rsidRDefault="00E8595A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B0A20">
        <w:rPr>
          <w:sz w:val="24"/>
          <w:szCs w:val="24"/>
        </w:rPr>
        <w:t xml:space="preserve">Although </w:t>
      </w:r>
      <w:r w:rsidR="00357F11">
        <w:rPr>
          <w:sz w:val="24"/>
          <w:szCs w:val="24"/>
        </w:rPr>
        <w:t>we already noted the</w:t>
      </w:r>
      <w:r w:rsidR="00445CAC">
        <w:rPr>
          <w:sz w:val="24"/>
          <w:szCs w:val="24"/>
        </w:rPr>
        <w:t xml:space="preserve"> large number</w:t>
      </w:r>
      <w:r w:rsidR="001A54C8">
        <w:rPr>
          <w:sz w:val="24"/>
          <w:szCs w:val="24"/>
        </w:rPr>
        <w:t xml:space="preserve"> of signatories to</w:t>
      </w:r>
      <w:r w:rsidR="00357F11">
        <w:rPr>
          <w:sz w:val="24"/>
          <w:szCs w:val="24"/>
        </w:rPr>
        <w:t xml:space="preserve"> the oath, one group </w:t>
      </w:r>
      <w:r w:rsidR="0021192B">
        <w:rPr>
          <w:sz w:val="24"/>
          <w:szCs w:val="24"/>
        </w:rPr>
        <w:t xml:space="preserve">listed in verse 29 </w:t>
      </w:r>
      <w:r w:rsidR="00357F11">
        <w:rPr>
          <w:sz w:val="24"/>
          <w:szCs w:val="24"/>
        </w:rPr>
        <w:t xml:space="preserve">is ambiguous: </w:t>
      </w:r>
      <w:r w:rsidR="0021192B">
        <w:rPr>
          <w:sz w:val="24"/>
          <w:szCs w:val="24"/>
        </w:rPr>
        <w:t>“</w:t>
      </w:r>
      <w:r w:rsidR="001A54C8">
        <w:rPr>
          <w:i/>
          <w:sz w:val="24"/>
          <w:szCs w:val="24"/>
        </w:rPr>
        <w:t>ve-khol ha-nivdal me-</w:t>
      </w:r>
      <w:r w:rsidR="006150B6">
        <w:rPr>
          <w:i/>
          <w:sz w:val="24"/>
          <w:szCs w:val="24"/>
        </w:rPr>
        <w:t>amei ha-</w:t>
      </w:r>
      <w:r w:rsidR="0021192B" w:rsidRPr="0021192B">
        <w:rPr>
          <w:i/>
          <w:sz w:val="24"/>
          <w:szCs w:val="24"/>
        </w:rPr>
        <w:t>aratzot el Torat ha-Elokim</w:t>
      </w:r>
      <w:r w:rsidR="0021192B">
        <w:rPr>
          <w:sz w:val="24"/>
          <w:szCs w:val="24"/>
        </w:rPr>
        <w:t>,</w:t>
      </w:r>
      <w:r w:rsidR="006150B6">
        <w:rPr>
          <w:sz w:val="24"/>
          <w:szCs w:val="24"/>
        </w:rPr>
        <w:t>”</w:t>
      </w:r>
      <w:r w:rsidR="0021192B">
        <w:rPr>
          <w:sz w:val="24"/>
          <w:szCs w:val="24"/>
        </w:rPr>
        <w:t xml:space="preserve"> </w:t>
      </w:r>
      <w:r w:rsidR="006150B6">
        <w:rPr>
          <w:sz w:val="24"/>
          <w:szCs w:val="24"/>
        </w:rPr>
        <w:t>“</w:t>
      </w:r>
      <w:r w:rsidR="0021192B">
        <w:rPr>
          <w:sz w:val="24"/>
          <w:szCs w:val="24"/>
        </w:rPr>
        <w:t xml:space="preserve">and all those who separated from the peoples of the lands to follow the teaching of God.” </w:t>
      </w:r>
      <w:r w:rsidR="00FC197C">
        <w:rPr>
          <w:sz w:val="24"/>
          <w:szCs w:val="24"/>
        </w:rPr>
        <w:t xml:space="preserve">A similar </w:t>
      </w:r>
      <w:r w:rsidR="00B3015A">
        <w:rPr>
          <w:sz w:val="24"/>
          <w:szCs w:val="24"/>
        </w:rPr>
        <w:t xml:space="preserve">phrase appears in </w:t>
      </w:r>
      <w:r w:rsidR="00B3015A" w:rsidRPr="00B3015A">
        <w:rPr>
          <w:i/>
          <w:sz w:val="24"/>
          <w:szCs w:val="24"/>
        </w:rPr>
        <w:t>Ezra</w:t>
      </w:r>
      <w:r w:rsidR="00B3015A">
        <w:rPr>
          <w:sz w:val="24"/>
          <w:szCs w:val="24"/>
        </w:rPr>
        <w:t>, which records that those “</w:t>
      </w:r>
      <w:r w:rsidR="00B3015A" w:rsidRPr="00B3015A">
        <w:rPr>
          <w:sz w:val="24"/>
          <w:szCs w:val="24"/>
        </w:rPr>
        <w:t>who joined them in separating themselves from the uncleanliness of the nations of the lands to worship t</w:t>
      </w:r>
      <w:r w:rsidR="00FD5489">
        <w:rPr>
          <w:sz w:val="24"/>
          <w:szCs w:val="24"/>
        </w:rPr>
        <w:t>he Lord</w:t>
      </w:r>
      <w:r w:rsidR="00B3015A">
        <w:rPr>
          <w:sz w:val="24"/>
          <w:szCs w:val="24"/>
        </w:rPr>
        <w:t xml:space="preserve"> God of Israel, ate of [the Pesach]” (6:21).</w:t>
      </w:r>
      <w:r w:rsidR="00263957">
        <w:rPr>
          <w:sz w:val="24"/>
          <w:szCs w:val="24"/>
        </w:rPr>
        <w:t xml:space="preserve"> </w:t>
      </w:r>
      <w:r w:rsidR="0021192B">
        <w:rPr>
          <w:sz w:val="24"/>
          <w:szCs w:val="24"/>
        </w:rPr>
        <w:t xml:space="preserve">Rashi (s.v. </w:t>
      </w:r>
      <w:r w:rsidR="0021192B" w:rsidRPr="00E43213">
        <w:rPr>
          <w:i/>
          <w:sz w:val="24"/>
          <w:szCs w:val="24"/>
        </w:rPr>
        <w:t>ve-khol</w:t>
      </w:r>
      <w:r w:rsidR="00B3015A">
        <w:rPr>
          <w:sz w:val="24"/>
          <w:szCs w:val="24"/>
        </w:rPr>
        <w:t>)</w:t>
      </w:r>
      <w:r w:rsidR="0021192B">
        <w:rPr>
          <w:sz w:val="24"/>
          <w:szCs w:val="24"/>
        </w:rPr>
        <w:t>, Met</w:t>
      </w:r>
      <w:r w:rsidR="00B3015A">
        <w:rPr>
          <w:sz w:val="24"/>
          <w:szCs w:val="24"/>
        </w:rPr>
        <w:t>z</w:t>
      </w:r>
      <w:r w:rsidR="0021192B">
        <w:rPr>
          <w:sz w:val="24"/>
          <w:szCs w:val="24"/>
        </w:rPr>
        <w:t xml:space="preserve">udat David </w:t>
      </w:r>
      <w:r w:rsidR="00B3015A">
        <w:rPr>
          <w:sz w:val="24"/>
          <w:szCs w:val="24"/>
        </w:rPr>
        <w:t>(</w:t>
      </w:r>
      <w:r w:rsidR="0021192B">
        <w:rPr>
          <w:sz w:val="24"/>
          <w:szCs w:val="24"/>
        </w:rPr>
        <w:t>ibid.</w:t>
      </w:r>
      <w:r w:rsidR="00B3015A">
        <w:rPr>
          <w:sz w:val="24"/>
          <w:szCs w:val="24"/>
        </w:rPr>
        <w:t>)</w:t>
      </w:r>
      <w:r w:rsidR="006150B6">
        <w:rPr>
          <w:sz w:val="24"/>
          <w:szCs w:val="24"/>
        </w:rPr>
        <w:t>,</w:t>
      </w:r>
      <w:r w:rsidR="0021192B">
        <w:rPr>
          <w:sz w:val="24"/>
          <w:szCs w:val="24"/>
        </w:rPr>
        <w:t xml:space="preserve"> </w:t>
      </w:r>
      <w:r w:rsidR="00B3015A">
        <w:rPr>
          <w:sz w:val="24"/>
          <w:szCs w:val="24"/>
        </w:rPr>
        <w:t xml:space="preserve">and </w:t>
      </w:r>
      <w:r w:rsidR="0021192B">
        <w:rPr>
          <w:sz w:val="24"/>
          <w:szCs w:val="24"/>
        </w:rPr>
        <w:t xml:space="preserve">Malbim </w:t>
      </w:r>
      <w:r w:rsidR="00B3015A">
        <w:rPr>
          <w:sz w:val="24"/>
          <w:szCs w:val="24"/>
        </w:rPr>
        <w:t>(</w:t>
      </w:r>
      <w:r w:rsidR="0021192B">
        <w:rPr>
          <w:sz w:val="24"/>
          <w:szCs w:val="24"/>
        </w:rPr>
        <w:t xml:space="preserve">ibid.) </w:t>
      </w:r>
      <w:r w:rsidR="00B3015A">
        <w:rPr>
          <w:sz w:val="24"/>
          <w:szCs w:val="24"/>
        </w:rPr>
        <w:t xml:space="preserve">maintain that </w:t>
      </w:r>
      <w:r w:rsidR="00E37BAC">
        <w:rPr>
          <w:sz w:val="24"/>
          <w:szCs w:val="24"/>
        </w:rPr>
        <w:t xml:space="preserve">both verses refer </w:t>
      </w:r>
      <w:r w:rsidR="00B3015A">
        <w:rPr>
          <w:sz w:val="24"/>
          <w:szCs w:val="24"/>
        </w:rPr>
        <w:t xml:space="preserve">to converts. </w:t>
      </w:r>
    </w:p>
    <w:p w14:paraId="65AC9454" w14:textId="77777777" w:rsidR="009C5688" w:rsidRDefault="009C5688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34EFA3B8" w14:textId="235E4164" w:rsidR="006941E2" w:rsidRDefault="00E8595A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768C">
        <w:rPr>
          <w:sz w:val="24"/>
          <w:szCs w:val="24"/>
        </w:rPr>
        <w:t xml:space="preserve">It is noteworthy that </w:t>
      </w:r>
      <w:r w:rsidR="0037768C" w:rsidRPr="0037768C">
        <w:rPr>
          <w:i/>
          <w:sz w:val="24"/>
          <w:szCs w:val="24"/>
        </w:rPr>
        <w:t>Megil</w:t>
      </w:r>
      <w:r w:rsidR="006150B6">
        <w:rPr>
          <w:i/>
          <w:sz w:val="24"/>
          <w:szCs w:val="24"/>
        </w:rPr>
        <w:t>l</w:t>
      </w:r>
      <w:r w:rsidR="0037768C" w:rsidRPr="0037768C">
        <w:rPr>
          <w:i/>
          <w:sz w:val="24"/>
          <w:szCs w:val="24"/>
        </w:rPr>
        <w:t>at Esther</w:t>
      </w:r>
      <w:r w:rsidR="0037768C">
        <w:rPr>
          <w:sz w:val="24"/>
          <w:szCs w:val="24"/>
        </w:rPr>
        <w:t xml:space="preserve">, written in roughly the same time period as </w:t>
      </w:r>
      <w:r w:rsidR="0037768C" w:rsidRPr="0037768C">
        <w:rPr>
          <w:i/>
          <w:sz w:val="24"/>
          <w:szCs w:val="24"/>
        </w:rPr>
        <w:t>Ezra-Nechemia</w:t>
      </w:r>
      <w:r w:rsidR="0037768C">
        <w:rPr>
          <w:sz w:val="24"/>
          <w:szCs w:val="24"/>
        </w:rPr>
        <w:t xml:space="preserve">, contains a similar phrase. Chapter </w:t>
      </w:r>
      <w:r w:rsidR="006150B6">
        <w:rPr>
          <w:sz w:val="24"/>
          <w:szCs w:val="24"/>
        </w:rPr>
        <w:t>8</w:t>
      </w:r>
      <w:r w:rsidR="00D56387">
        <w:rPr>
          <w:sz w:val="24"/>
          <w:szCs w:val="24"/>
        </w:rPr>
        <w:t xml:space="preserve"> of the </w:t>
      </w:r>
      <w:r w:rsidR="00D56387" w:rsidRPr="00D56387">
        <w:rPr>
          <w:i/>
          <w:sz w:val="24"/>
          <w:szCs w:val="24"/>
        </w:rPr>
        <w:t>Megil</w:t>
      </w:r>
      <w:r w:rsidR="006150B6">
        <w:rPr>
          <w:i/>
          <w:sz w:val="24"/>
          <w:szCs w:val="24"/>
        </w:rPr>
        <w:t>l</w:t>
      </w:r>
      <w:r w:rsidR="00D56387" w:rsidRPr="00D56387">
        <w:rPr>
          <w:i/>
          <w:sz w:val="24"/>
          <w:szCs w:val="24"/>
        </w:rPr>
        <w:t>a</w:t>
      </w:r>
      <w:r w:rsidR="0037768C">
        <w:rPr>
          <w:sz w:val="24"/>
          <w:szCs w:val="24"/>
        </w:rPr>
        <w:t xml:space="preserve"> records that</w:t>
      </w:r>
      <w:r w:rsidR="0068285C">
        <w:rPr>
          <w:sz w:val="24"/>
          <w:szCs w:val="24"/>
        </w:rPr>
        <w:t xml:space="preserve"> following the reversal of Haman’s decree,</w:t>
      </w:r>
      <w:r w:rsidR="0037768C">
        <w:rPr>
          <w:sz w:val="24"/>
          <w:szCs w:val="24"/>
        </w:rPr>
        <w:t xml:space="preserve"> </w:t>
      </w:r>
      <w:r w:rsidR="00E4167F">
        <w:rPr>
          <w:sz w:val="24"/>
          <w:szCs w:val="24"/>
        </w:rPr>
        <w:t>many gentiles “</w:t>
      </w:r>
      <w:r w:rsidR="00E4167F" w:rsidRPr="00E4167F">
        <w:rPr>
          <w:i/>
          <w:sz w:val="24"/>
          <w:szCs w:val="24"/>
        </w:rPr>
        <w:t>mityahadim</w:t>
      </w:r>
      <w:r w:rsidR="00E4167F">
        <w:rPr>
          <w:sz w:val="24"/>
          <w:szCs w:val="24"/>
        </w:rPr>
        <w:t>,” became Jews or were supportive of Jews (8:17).</w:t>
      </w:r>
      <w:r w:rsidR="005C7663">
        <w:rPr>
          <w:sz w:val="24"/>
          <w:szCs w:val="24"/>
        </w:rPr>
        <w:t xml:space="preserve"> </w:t>
      </w:r>
      <w:r w:rsidR="00E4167F">
        <w:rPr>
          <w:sz w:val="24"/>
          <w:szCs w:val="24"/>
        </w:rPr>
        <w:t>Rashi aga</w:t>
      </w:r>
      <w:r w:rsidR="005C7663">
        <w:rPr>
          <w:sz w:val="24"/>
          <w:szCs w:val="24"/>
        </w:rPr>
        <w:t xml:space="preserve">in </w:t>
      </w:r>
      <w:r w:rsidR="007079E4">
        <w:rPr>
          <w:sz w:val="24"/>
          <w:szCs w:val="24"/>
        </w:rPr>
        <w:t xml:space="preserve">maintains </w:t>
      </w:r>
      <w:r w:rsidR="005C7663">
        <w:rPr>
          <w:sz w:val="24"/>
          <w:szCs w:val="24"/>
        </w:rPr>
        <w:t>that they converted.</w:t>
      </w:r>
      <w:r w:rsidR="00E4167F">
        <w:rPr>
          <w:sz w:val="24"/>
          <w:szCs w:val="24"/>
        </w:rPr>
        <w:t xml:space="preserve"> Later, we read that “</w:t>
      </w:r>
      <w:r w:rsidR="00E4167F" w:rsidRPr="00E4167F">
        <w:rPr>
          <w:sz w:val="24"/>
          <w:szCs w:val="24"/>
        </w:rPr>
        <w:t>the Jews undertook and irrevocably obligated themselves and their descendants, and all who might join them, to observe these two days in the manner prescribed a</w:t>
      </w:r>
      <w:r w:rsidR="00E4167F">
        <w:rPr>
          <w:sz w:val="24"/>
          <w:szCs w:val="24"/>
        </w:rPr>
        <w:t xml:space="preserve">nd at the proper time each year” (9:27). </w:t>
      </w:r>
      <w:r w:rsidR="005C7663">
        <w:rPr>
          <w:sz w:val="24"/>
          <w:szCs w:val="24"/>
        </w:rPr>
        <w:t>Here too, Rashi understands the phrase to be a reference to</w:t>
      </w:r>
      <w:r w:rsidR="00201059">
        <w:rPr>
          <w:sz w:val="24"/>
          <w:szCs w:val="24"/>
        </w:rPr>
        <w:t xml:space="preserve"> anyone who will convert to Judaism.</w:t>
      </w:r>
    </w:p>
    <w:p w14:paraId="65D1C188" w14:textId="77777777" w:rsidR="00640A3D" w:rsidRDefault="00640A3D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3AFA5C11" w14:textId="4D787940" w:rsidR="00640A3D" w:rsidRDefault="00E8595A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0A3D">
        <w:rPr>
          <w:sz w:val="24"/>
          <w:szCs w:val="24"/>
        </w:rPr>
        <w:t xml:space="preserve">This resurgence of interest in Judaism, while </w:t>
      </w:r>
      <w:r w:rsidR="006D2D1B">
        <w:rPr>
          <w:sz w:val="24"/>
          <w:szCs w:val="24"/>
        </w:rPr>
        <w:t>requiring</w:t>
      </w:r>
      <w:r w:rsidR="005D0823">
        <w:rPr>
          <w:sz w:val="24"/>
          <w:szCs w:val="24"/>
        </w:rPr>
        <w:t xml:space="preserve"> broader</w:t>
      </w:r>
      <w:r w:rsidR="00640A3D">
        <w:rPr>
          <w:sz w:val="24"/>
          <w:szCs w:val="24"/>
        </w:rPr>
        <w:t xml:space="preserve"> analysis, makes an important statement about the beleaguered </w:t>
      </w:r>
      <w:r w:rsidR="00640A3D" w:rsidRPr="00640A3D">
        <w:rPr>
          <w:i/>
          <w:sz w:val="24"/>
          <w:szCs w:val="24"/>
        </w:rPr>
        <w:t xml:space="preserve">Shivat Tzion </w:t>
      </w:r>
      <w:r w:rsidR="00640A3D">
        <w:rPr>
          <w:sz w:val="24"/>
          <w:szCs w:val="24"/>
        </w:rPr>
        <w:t>community. While many Jews were ignorant and intermarried, numerous gentiles</w:t>
      </w:r>
      <w:r w:rsidR="00BB6CC7">
        <w:rPr>
          <w:sz w:val="24"/>
          <w:szCs w:val="24"/>
        </w:rPr>
        <w:t xml:space="preserve"> were attracted to Judaism</w:t>
      </w:r>
      <w:r w:rsidR="00640A3D">
        <w:rPr>
          <w:sz w:val="24"/>
          <w:szCs w:val="24"/>
        </w:rPr>
        <w:t>.</w:t>
      </w:r>
      <w:r w:rsidR="007B064A">
        <w:rPr>
          <w:sz w:val="24"/>
          <w:szCs w:val="24"/>
        </w:rPr>
        <w:t xml:space="preserve"> </w:t>
      </w:r>
      <w:r w:rsidR="00403C02">
        <w:rPr>
          <w:sz w:val="24"/>
          <w:szCs w:val="24"/>
        </w:rPr>
        <w:t xml:space="preserve">Apparently, as the Jewish community became more secure and religiously committed toward the end of </w:t>
      </w:r>
      <w:r w:rsidR="00403C02" w:rsidRPr="00403C02">
        <w:rPr>
          <w:i/>
          <w:sz w:val="24"/>
          <w:szCs w:val="24"/>
        </w:rPr>
        <w:t>Nechemia</w:t>
      </w:r>
      <w:r w:rsidR="00403C02">
        <w:rPr>
          <w:sz w:val="24"/>
          <w:szCs w:val="24"/>
        </w:rPr>
        <w:t xml:space="preserve">, a </w:t>
      </w:r>
      <w:r w:rsidR="00240ED9">
        <w:rPr>
          <w:sz w:val="24"/>
          <w:szCs w:val="24"/>
        </w:rPr>
        <w:t xml:space="preserve">surfeit </w:t>
      </w:r>
      <w:r w:rsidR="007B064A">
        <w:rPr>
          <w:sz w:val="24"/>
          <w:szCs w:val="24"/>
        </w:rPr>
        <w:t xml:space="preserve">of Jewish </w:t>
      </w:r>
      <w:r w:rsidR="00403C02">
        <w:rPr>
          <w:sz w:val="24"/>
          <w:szCs w:val="24"/>
        </w:rPr>
        <w:t>pride ensued</w:t>
      </w:r>
      <w:r w:rsidR="007B064A">
        <w:rPr>
          <w:sz w:val="24"/>
          <w:szCs w:val="24"/>
        </w:rPr>
        <w:t xml:space="preserve">. </w:t>
      </w:r>
      <w:r w:rsidR="00640A3D">
        <w:rPr>
          <w:sz w:val="24"/>
          <w:szCs w:val="24"/>
        </w:rPr>
        <w:t xml:space="preserve"> </w:t>
      </w:r>
    </w:p>
    <w:p w14:paraId="0D966DB4" w14:textId="77777777" w:rsidR="006941E2" w:rsidRDefault="006941E2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28C33914" w14:textId="692CE1E3" w:rsidR="009C5688" w:rsidRDefault="006941E2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 w:rsidRPr="006941E2">
        <w:rPr>
          <w:b/>
          <w:sz w:val="24"/>
          <w:szCs w:val="24"/>
        </w:rPr>
        <w:t>The Nature of the Oath</w:t>
      </w:r>
    </w:p>
    <w:p w14:paraId="082A3175" w14:textId="77777777" w:rsidR="006941E2" w:rsidRDefault="006941E2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63A4370C" w14:textId="512363A4" w:rsidR="000B12B1" w:rsidRDefault="00E8595A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657E">
        <w:rPr>
          <w:sz w:val="24"/>
          <w:szCs w:val="24"/>
        </w:rPr>
        <w:t>I</w:t>
      </w:r>
      <w:r w:rsidR="00BA0027">
        <w:rPr>
          <w:sz w:val="24"/>
          <w:szCs w:val="24"/>
        </w:rPr>
        <w:t>n many instances</w:t>
      </w:r>
      <w:r w:rsidR="008E657E">
        <w:rPr>
          <w:sz w:val="24"/>
          <w:szCs w:val="24"/>
        </w:rPr>
        <w:t xml:space="preserve"> in our chapter</w:t>
      </w:r>
      <w:r w:rsidR="00BA0027">
        <w:rPr>
          <w:sz w:val="24"/>
          <w:szCs w:val="24"/>
        </w:rPr>
        <w:t xml:space="preserve">, the </w:t>
      </w:r>
      <w:r w:rsidR="008E657E">
        <w:rPr>
          <w:sz w:val="24"/>
          <w:szCs w:val="24"/>
        </w:rPr>
        <w:t xml:space="preserve">oath </w:t>
      </w:r>
      <w:r w:rsidR="00C126E9">
        <w:rPr>
          <w:sz w:val="24"/>
          <w:szCs w:val="24"/>
        </w:rPr>
        <w:t>seems to supers</w:t>
      </w:r>
      <w:r w:rsidR="00BA0027">
        <w:rPr>
          <w:sz w:val="24"/>
          <w:szCs w:val="24"/>
        </w:rPr>
        <w:t xml:space="preserve">ede the obligations that are </w:t>
      </w:r>
      <w:r w:rsidR="00433432">
        <w:rPr>
          <w:sz w:val="24"/>
          <w:szCs w:val="24"/>
        </w:rPr>
        <w:t xml:space="preserve">set forth </w:t>
      </w:r>
      <w:r w:rsidR="00BA0027">
        <w:rPr>
          <w:sz w:val="24"/>
          <w:szCs w:val="24"/>
        </w:rPr>
        <w:t>explicit</w:t>
      </w:r>
      <w:r w:rsidR="00433432">
        <w:rPr>
          <w:sz w:val="24"/>
          <w:szCs w:val="24"/>
        </w:rPr>
        <w:t>ly</w:t>
      </w:r>
      <w:r w:rsidR="00BA0027">
        <w:rPr>
          <w:sz w:val="24"/>
          <w:szCs w:val="24"/>
        </w:rPr>
        <w:t xml:space="preserve"> in the Torah. For instance, the Torah only explicitly prohibits intermarriage with the Seven Nations, whereas </w:t>
      </w:r>
      <w:r w:rsidR="000B12B1">
        <w:rPr>
          <w:sz w:val="24"/>
          <w:szCs w:val="24"/>
        </w:rPr>
        <w:t xml:space="preserve">our chapter </w:t>
      </w:r>
      <w:r w:rsidR="00BA0027">
        <w:rPr>
          <w:sz w:val="24"/>
          <w:szCs w:val="24"/>
        </w:rPr>
        <w:t>outlaws all</w:t>
      </w:r>
      <w:r w:rsidR="000B12B1">
        <w:rPr>
          <w:sz w:val="24"/>
          <w:szCs w:val="24"/>
        </w:rPr>
        <w:t xml:space="preserve"> exogamy. T</w:t>
      </w:r>
      <w:r w:rsidR="00BA0027">
        <w:rPr>
          <w:sz w:val="24"/>
          <w:szCs w:val="24"/>
        </w:rPr>
        <w:t>he Torah requires a half-</w:t>
      </w:r>
      <w:r w:rsidR="00BA0027" w:rsidRPr="000B12B1">
        <w:rPr>
          <w:i/>
          <w:sz w:val="24"/>
          <w:szCs w:val="24"/>
        </w:rPr>
        <w:t>shekel</w:t>
      </w:r>
      <w:r w:rsidR="00BA0027">
        <w:rPr>
          <w:sz w:val="24"/>
          <w:szCs w:val="24"/>
        </w:rPr>
        <w:t xml:space="preserve"> donation, w</w:t>
      </w:r>
      <w:r w:rsidR="000B12B1">
        <w:rPr>
          <w:sz w:val="24"/>
          <w:szCs w:val="24"/>
        </w:rPr>
        <w:t>hile the oath requires a third. Wher</w:t>
      </w:r>
      <w:r w:rsidR="006A168C">
        <w:rPr>
          <w:sz w:val="24"/>
          <w:szCs w:val="24"/>
        </w:rPr>
        <w:t>e</w:t>
      </w:r>
      <w:r w:rsidR="000B12B1">
        <w:rPr>
          <w:sz w:val="24"/>
          <w:szCs w:val="24"/>
        </w:rPr>
        <w:t>as</w:t>
      </w:r>
      <w:r w:rsidR="00474DA5">
        <w:rPr>
          <w:sz w:val="24"/>
          <w:szCs w:val="24"/>
        </w:rPr>
        <w:t xml:space="preserve"> the Jews commit to offer</w:t>
      </w:r>
      <w:r w:rsidR="00F02928">
        <w:rPr>
          <w:sz w:val="24"/>
          <w:szCs w:val="24"/>
        </w:rPr>
        <w:t xml:space="preserve"> a wood offering, no such obligation appears in the Torah. </w:t>
      </w:r>
    </w:p>
    <w:p w14:paraId="1F3B8031" w14:textId="77777777" w:rsidR="000B12B1" w:rsidRDefault="000B12B1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55B80096" w14:textId="76DD35F0" w:rsidR="006941E2" w:rsidRDefault="00E8595A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2928">
        <w:rPr>
          <w:sz w:val="24"/>
          <w:szCs w:val="24"/>
        </w:rPr>
        <w:t xml:space="preserve">This </w:t>
      </w:r>
      <w:r w:rsidR="000B12B1">
        <w:rPr>
          <w:sz w:val="24"/>
          <w:szCs w:val="24"/>
        </w:rPr>
        <w:t xml:space="preserve">raises </w:t>
      </w:r>
      <w:r w:rsidR="009B0566">
        <w:rPr>
          <w:sz w:val="24"/>
          <w:szCs w:val="24"/>
        </w:rPr>
        <w:t>a</w:t>
      </w:r>
      <w:r w:rsidR="00F02928">
        <w:rPr>
          <w:sz w:val="24"/>
          <w:szCs w:val="24"/>
        </w:rPr>
        <w:t xml:space="preserve"> </w:t>
      </w:r>
      <w:r w:rsidR="00D95EF2">
        <w:rPr>
          <w:sz w:val="24"/>
          <w:szCs w:val="24"/>
        </w:rPr>
        <w:t xml:space="preserve">basic </w:t>
      </w:r>
      <w:r w:rsidR="009B71DF">
        <w:rPr>
          <w:sz w:val="24"/>
          <w:szCs w:val="24"/>
        </w:rPr>
        <w:t>question</w:t>
      </w:r>
      <w:r w:rsidR="006A0347">
        <w:rPr>
          <w:sz w:val="24"/>
          <w:szCs w:val="24"/>
        </w:rPr>
        <w:t xml:space="preserve"> </w:t>
      </w:r>
      <w:r w:rsidR="00D1265C">
        <w:rPr>
          <w:sz w:val="24"/>
          <w:szCs w:val="24"/>
        </w:rPr>
        <w:t xml:space="preserve">regarding </w:t>
      </w:r>
      <w:r w:rsidR="006A0347">
        <w:rPr>
          <w:sz w:val="24"/>
          <w:szCs w:val="24"/>
        </w:rPr>
        <w:t xml:space="preserve">each of the </w:t>
      </w:r>
      <w:r w:rsidR="00C405C7">
        <w:rPr>
          <w:sz w:val="24"/>
          <w:szCs w:val="24"/>
        </w:rPr>
        <w:t xml:space="preserve">acceptances </w:t>
      </w:r>
      <w:r w:rsidR="004B3698">
        <w:rPr>
          <w:sz w:val="24"/>
          <w:szCs w:val="24"/>
        </w:rPr>
        <w:t>included</w:t>
      </w:r>
      <w:r w:rsidR="009B71DF">
        <w:rPr>
          <w:sz w:val="24"/>
          <w:szCs w:val="24"/>
        </w:rPr>
        <w:t xml:space="preserve"> in the oath</w:t>
      </w:r>
      <w:r w:rsidR="006150B6">
        <w:rPr>
          <w:sz w:val="24"/>
          <w:szCs w:val="24"/>
        </w:rPr>
        <w:t>.</w:t>
      </w:r>
      <w:r w:rsidR="006A0347">
        <w:rPr>
          <w:sz w:val="24"/>
          <w:szCs w:val="24"/>
        </w:rPr>
        <w:t xml:space="preserve"> </w:t>
      </w:r>
      <w:r w:rsidR="006150B6">
        <w:rPr>
          <w:sz w:val="24"/>
          <w:szCs w:val="24"/>
        </w:rPr>
        <w:t>W</w:t>
      </w:r>
      <w:r w:rsidR="00CF3100">
        <w:rPr>
          <w:sz w:val="24"/>
          <w:szCs w:val="24"/>
        </w:rPr>
        <w:t xml:space="preserve">ere the people merely stating their </w:t>
      </w:r>
      <w:r w:rsidR="00CF5694">
        <w:rPr>
          <w:sz w:val="24"/>
          <w:szCs w:val="24"/>
        </w:rPr>
        <w:t xml:space="preserve">renewed </w:t>
      </w:r>
      <w:r w:rsidR="00CF3100">
        <w:rPr>
          <w:sz w:val="24"/>
          <w:szCs w:val="24"/>
        </w:rPr>
        <w:t xml:space="preserve">commitment to </w:t>
      </w:r>
      <w:r w:rsidR="00CF5694">
        <w:rPr>
          <w:sz w:val="24"/>
          <w:szCs w:val="24"/>
        </w:rPr>
        <w:t xml:space="preserve">observe </w:t>
      </w:r>
      <w:r w:rsidR="00D95EF2">
        <w:rPr>
          <w:sz w:val="24"/>
          <w:szCs w:val="24"/>
        </w:rPr>
        <w:t xml:space="preserve">preexisting </w:t>
      </w:r>
      <w:r w:rsidR="00CF3100">
        <w:rPr>
          <w:sz w:val="24"/>
          <w:szCs w:val="24"/>
        </w:rPr>
        <w:t>Torah law, or were they accepting upon themselves additional obligations? This que</w:t>
      </w:r>
      <w:r w:rsidR="007F747B">
        <w:rPr>
          <w:sz w:val="24"/>
          <w:szCs w:val="24"/>
        </w:rPr>
        <w:t xml:space="preserve">stion is of wider </w:t>
      </w:r>
      <w:r w:rsidR="00D6139F">
        <w:rPr>
          <w:sz w:val="24"/>
          <w:szCs w:val="24"/>
        </w:rPr>
        <w:t>significance.</w:t>
      </w:r>
      <w:r w:rsidR="00CF3100">
        <w:rPr>
          <w:sz w:val="24"/>
          <w:szCs w:val="24"/>
        </w:rPr>
        <w:t xml:space="preserve"> </w:t>
      </w:r>
      <w:r w:rsidR="00431215">
        <w:rPr>
          <w:sz w:val="24"/>
          <w:szCs w:val="24"/>
        </w:rPr>
        <w:t>According to the</w:t>
      </w:r>
      <w:r w:rsidR="007F747B">
        <w:rPr>
          <w:sz w:val="24"/>
          <w:szCs w:val="24"/>
        </w:rPr>
        <w:t xml:space="preserve"> renewed commitment school of thought</w:t>
      </w:r>
      <w:r w:rsidR="00732EAF">
        <w:rPr>
          <w:sz w:val="24"/>
          <w:szCs w:val="24"/>
        </w:rPr>
        <w:t xml:space="preserve">, </w:t>
      </w:r>
      <w:r w:rsidR="007F747B">
        <w:rPr>
          <w:sz w:val="24"/>
          <w:szCs w:val="24"/>
        </w:rPr>
        <w:t xml:space="preserve">our chapter would </w:t>
      </w:r>
      <w:r w:rsidR="00732EAF">
        <w:rPr>
          <w:sz w:val="24"/>
          <w:szCs w:val="24"/>
        </w:rPr>
        <w:t xml:space="preserve">appear to be an instance of </w:t>
      </w:r>
      <w:r w:rsidR="00D95EF2">
        <w:rPr>
          <w:sz w:val="24"/>
          <w:szCs w:val="24"/>
        </w:rPr>
        <w:t xml:space="preserve">what scholars term </w:t>
      </w:r>
      <w:r w:rsidR="006150B6">
        <w:rPr>
          <w:sz w:val="24"/>
          <w:szCs w:val="24"/>
        </w:rPr>
        <w:t>“</w:t>
      </w:r>
      <w:r w:rsidR="00732EAF">
        <w:rPr>
          <w:sz w:val="24"/>
          <w:szCs w:val="24"/>
        </w:rPr>
        <w:t>inner-</w:t>
      </w:r>
      <w:r w:rsidR="006150B6">
        <w:rPr>
          <w:sz w:val="24"/>
          <w:szCs w:val="24"/>
        </w:rPr>
        <w:t>B</w:t>
      </w:r>
      <w:r w:rsidR="00732EAF">
        <w:rPr>
          <w:sz w:val="24"/>
          <w:szCs w:val="24"/>
        </w:rPr>
        <w:t>iblical ex</w:t>
      </w:r>
      <w:r w:rsidR="007048F0">
        <w:rPr>
          <w:sz w:val="24"/>
          <w:szCs w:val="24"/>
        </w:rPr>
        <w:t>egesis.</w:t>
      </w:r>
      <w:r w:rsidR="006150B6">
        <w:rPr>
          <w:sz w:val="24"/>
          <w:szCs w:val="24"/>
        </w:rPr>
        <w:t>”</w:t>
      </w:r>
      <w:r w:rsidR="007048F0">
        <w:rPr>
          <w:sz w:val="24"/>
          <w:szCs w:val="24"/>
        </w:rPr>
        <w:t xml:space="preserve"> Inner-</w:t>
      </w:r>
      <w:r w:rsidR="006150B6">
        <w:rPr>
          <w:sz w:val="24"/>
          <w:szCs w:val="24"/>
        </w:rPr>
        <w:t>B</w:t>
      </w:r>
      <w:r w:rsidR="007048F0">
        <w:rPr>
          <w:sz w:val="24"/>
          <w:szCs w:val="24"/>
        </w:rPr>
        <w:t xml:space="preserve">iblical exegesis, </w:t>
      </w:r>
      <w:r w:rsidR="007F747B">
        <w:rPr>
          <w:sz w:val="24"/>
          <w:szCs w:val="24"/>
        </w:rPr>
        <w:t xml:space="preserve">explored in the pioneering work of </w:t>
      </w:r>
      <w:r w:rsidR="007048F0">
        <w:rPr>
          <w:sz w:val="24"/>
          <w:szCs w:val="24"/>
        </w:rPr>
        <w:t xml:space="preserve">Michael Fishbane, </w:t>
      </w:r>
      <w:r w:rsidR="00F02928">
        <w:rPr>
          <w:sz w:val="24"/>
          <w:szCs w:val="24"/>
        </w:rPr>
        <w:t xml:space="preserve">refers to a </w:t>
      </w:r>
      <w:r w:rsidR="006150B6">
        <w:rPr>
          <w:sz w:val="24"/>
          <w:szCs w:val="24"/>
        </w:rPr>
        <w:t>process of B</w:t>
      </w:r>
      <w:r w:rsidR="007048F0">
        <w:rPr>
          <w:sz w:val="24"/>
          <w:szCs w:val="24"/>
        </w:rPr>
        <w:t>iblical interpretation that t</w:t>
      </w:r>
      <w:r w:rsidR="00477A95">
        <w:rPr>
          <w:sz w:val="24"/>
          <w:szCs w:val="24"/>
        </w:rPr>
        <w:t>akes place in the Bible itself.</w:t>
      </w:r>
      <w:r w:rsidR="00732EAF">
        <w:rPr>
          <w:sz w:val="24"/>
          <w:szCs w:val="24"/>
        </w:rPr>
        <w:t xml:space="preserve"> </w:t>
      </w:r>
      <w:r w:rsidR="007048F0">
        <w:rPr>
          <w:sz w:val="24"/>
          <w:szCs w:val="24"/>
        </w:rPr>
        <w:t>This</w:t>
      </w:r>
      <w:r w:rsidR="00F02928">
        <w:rPr>
          <w:sz w:val="24"/>
          <w:szCs w:val="24"/>
        </w:rPr>
        <w:t xml:space="preserve"> phenomenon</w:t>
      </w:r>
      <w:r w:rsidR="007048F0">
        <w:rPr>
          <w:sz w:val="24"/>
          <w:szCs w:val="24"/>
        </w:rPr>
        <w:t>,</w:t>
      </w:r>
      <w:r w:rsidR="00477A95">
        <w:rPr>
          <w:sz w:val="24"/>
          <w:szCs w:val="24"/>
        </w:rPr>
        <w:t xml:space="preserve"> sometimes known as intertextuality,</w:t>
      </w:r>
      <w:r w:rsidR="007048F0">
        <w:rPr>
          <w:sz w:val="24"/>
          <w:szCs w:val="24"/>
        </w:rPr>
        <w:t xml:space="preserve"> is especially central to </w:t>
      </w:r>
      <w:r w:rsidR="007048F0" w:rsidRPr="003F04E2">
        <w:rPr>
          <w:i/>
          <w:sz w:val="24"/>
          <w:szCs w:val="24"/>
        </w:rPr>
        <w:t>Ezra-Nechemia</w:t>
      </w:r>
      <w:r w:rsidR="00C2404D">
        <w:rPr>
          <w:sz w:val="24"/>
          <w:szCs w:val="24"/>
        </w:rPr>
        <w:t xml:space="preserve">, in which </w:t>
      </w:r>
      <w:r w:rsidR="007603CD">
        <w:rPr>
          <w:sz w:val="24"/>
          <w:szCs w:val="24"/>
        </w:rPr>
        <w:t xml:space="preserve">the scope of </w:t>
      </w:r>
      <w:r w:rsidR="00C2404D">
        <w:rPr>
          <w:sz w:val="24"/>
          <w:szCs w:val="24"/>
        </w:rPr>
        <w:t>laws such as the prohibition against intermarriage are clarified</w:t>
      </w:r>
      <w:r w:rsidR="007048F0">
        <w:rPr>
          <w:sz w:val="24"/>
          <w:szCs w:val="24"/>
        </w:rPr>
        <w:t xml:space="preserve">. </w:t>
      </w:r>
      <w:r w:rsidR="007048F0">
        <w:rPr>
          <w:sz w:val="24"/>
          <w:szCs w:val="24"/>
        </w:rPr>
        <w:lastRenderedPageBreak/>
        <w:t xml:space="preserve">Alternatively, </w:t>
      </w:r>
      <w:r w:rsidR="00557FA5">
        <w:rPr>
          <w:sz w:val="24"/>
          <w:szCs w:val="24"/>
        </w:rPr>
        <w:t xml:space="preserve">if we </w:t>
      </w:r>
      <w:r w:rsidR="007048F0">
        <w:rPr>
          <w:sz w:val="24"/>
          <w:szCs w:val="24"/>
        </w:rPr>
        <w:t xml:space="preserve">understand that the Jews are </w:t>
      </w:r>
      <w:r w:rsidR="003F04E2">
        <w:rPr>
          <w:sz w:val="24"/>
          <w:szCs w:val="24"/>
        </w:rPr>
        <w:t xml:space="preserve">binding themselves to </w:t>
      </w:r>
      <w:r w:rsidR="00557FA5">
        <w:rPr>
          <w:sz w:val="24"/>
          <w:szCs w:val="24"/>
        </w:rPr>
        <w:t xml:space="preserve">new laws, </w:t>
      </w:r>
      <w:r w:rsidR="003F04E2">
        <w:rPr>
          <w:sz w:val="24"/>
          <w:szCs w:val="24"/>
        </w:rPr>
        <w:t>our chapter may represent an early instance of</w:t>
      </w:r>
      <w:r w:rsidR="00441E78">
        <w:rPr>
          <w:sz w:val="24"/>
          <w:szCs w:val="24"/>
        </w:rPr>
        <w:t xml:space="preserve"> </w:t>
      </w:r>
      <w:r w:rsidR="00441E78" w:rsidRPr="00441E78">
        <w:rPr>
          <w:i/>
          <w:sz w:val="24"/>
          <w:szCs w:val="24"/>
        </w:rPr>
        <w:t xml:space="preserve">minhag </w:t>
      </w:r>
      <w:r w:rsidR="00441E78">
        <w:rPr>
          <w:sz w:val="24"/>
          <w:szCs w:val="24"/>
        </w:rPr>
        <w:t>or</w:t>
      </w:r>
      <w:r w:rsidR="003F04E2">
        <w:rPr>
          <w:sz w:val="24"/>
          <w:szCs w:val="24"/>
        </w:rPr>
        <w:t xml:space="preserve"> </w:t>
      </w:r>
      <w:r w:rsidR="006150B6">
        <w:rPr>
          <w:sz w:val="24"/>
          <w:szCs w:val="24"/>
        </w:rPr>
        <w:t>R</w:t>
      </w:r>
      <w:r w:rsidR="005536A5">
        <w:rPr>
          <w:sz w:val="24"/>
          <w:szCs w:val="24"/>
        </w:rPr>
        <w:t xml:space="preserve">abbinic legislation. </w:t>
      </w:r>
    </w:p>
    <w:p w14:paraId="3292344D" w14:textId="77777777" w:rsidR="00F24823" w:rsidRDefault="00F24823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2DED2CC4" w14:textId="6BFDED13" w:rsidR="00F24823" w:rsidRDefault="00E8595A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1E78">
        <w:rPr>
          <w:sz w:val="24"/>
          <w:szCs w:val="24"/>
        </w:rPr>
        <w:t xml:space="preserve">Our </w:t>
      </w:r>
      <w:r w:rsidR="00F24823">
        <w:rPr>
          <w:sz w:val="24"/>
          <w:szCs w:val="24"/>
        </w:rPr>
        <w:t>question seems to be the subject of dispute among the</w:t>
      </w:r>
      <w:r w:rsidR="00441E78">
        <w:rPr>
          <w:sz w:val="24"/>
          <w:szCs w:val="24"/>
        </w:rPr>
        <w:t xml:space="preserve"> commentators.</w:t>
      </w:r>
      <w:r w:rsidR="00F24823">
        <w:rPr>
          <w:sz w:val="24"/>
          <w:szCs w:val="24"/>
        </w:rPr>
        <w:t xml:space="preserve"> Ralbag </w:t>
      </w:r>
      <w:r w:rsidR="000D3514">
        <w:rPr>
          <w:sz w:val="24"/>
          <w:szCs w:val="24"/>
        </w:rPr>
        <w:t>tends</w:t>
      </w:r>
      <w:r w:rsidR="000C2613">
        <w:rPr>
          <w:sz w:val="24"/>
          <w:szCs w:val="24"/>
        </w:rPr>
        <w:t xml:space="preserve"> toward the </w:t>
      </w:r>
      <w:r w:rsidR="00441E78">
        <w:rPr>
          <w:sz w:val="24"/>
          <w:szCs w:val="24"/>
        </w:rPr>
        <w:t xml:space="preserve">view </w:t>
      </w:r>
      <w:r w:rsidR="000D3514">
        <w:rPr>
          <w:sz w:val="24"/>
          <w:szCs w:val="24"/>
        </w:rPr>
        <w:t xml:space="preserve">that the oaths constituted </w:t>
      </w:r>
      <w:r w:rsidR="00F24823">
        <w:rPr>
          <w:sz w:val="24"/>
          <w:szCs w:val="24"/>
        </w:rPr>
        <w:t xml:space="preserve">commitments to </w:t>
      </w:r>
      <w:r w:rsidR="00DE11E5">
        <w:rPr>
          <w:sz w:val="24"/>
          <w:szCs w:val="24"/>
        </w:rPr>
        <w:t xml:space="preserve">previously existing laws, </w:t>
      </w:r>
      <w:r w:rsidR="000D3514">
        <w:rPr>
          <w:sz w:val="24"/>
          <w:szCs w:val="24"/>
        </w:rPr>
        <w:t>while Malbim seems</w:t>
      </w:r>
      <w:r w:rsidR="00F24823">
        <w:rPr>
          <w:sz w:val="24"/>
          <w:szCs w:val="24"/>
        </w:rPr>
        <w:t xml:space="preserve"> to understand that </w:t>
      </w:r>
      <w:r w:rsidR="00243674">
        <w:rPr>
          <w:sz w:val="24"/>
          <w:szCs w:val="24"/>
        </w:rPr>
        <w:t>they were innovations. Of course,</w:t>
      </w:r>
      <w:r w:rsidR="00F426BA">
        <w:rPr>
          <w:sz w:val="24"/>
          <w:szCs w:val="24"/>
        </w:rPr>
        <w:t xml:space="preserve"> one need not assume that each </w:t>
      </w:r>
      <w:r w:rsidR="006150B6">
        <w:rPr>
          <w:i/>
          <w:sz w:val="24"/>
          <w:szCs w:val="24"/>
        </w:rPr>
        <w:t>mitzva</w:t>
      </w:r>
      <w:r w:rsidR="00F426BA">
        <w:rPr>
          <w:sz w:val="24"/>
          <w:szCs w:val="24"/>
        </w:rPr>
        <w:t xml:space="preserve"> is cut from the</w:t>
      </w:r>
      <w:r w:rsidR="00441E78">
        <w:rPr>
          <w:sz w:val="24"/>
          <w:szCs w:val="24"/>
        </w:rPr>
        <w:t xml:space="preserve"> same cloth; as we will see, they may alternat</w:t>
      </w:r>
      <w:r w:rsidR="00F426BA">
        <w:rPr>
          <w:sz w:val="24"/>
          <w:szCs w:val="24"/>
        </w:rPr>
        <w:t xml:space="preserve">e between renewed commitments and innovations. </w:t>
      </w:r>
    </w:p>
    <w:p w14:paraId="308CDA25" w14:textId="77777777" w:rsidR="00243674" w:rsidRDefault="00243674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605800BF" w14:textId="5D91FC73" w:rsidR="00243674" w:rsidRDefault="00E8595A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50B6">
        <w:rPr>
          <w:sz w:val="24"/>
          <w:szCs w:val="24"/>
        </w:rPr>
        <w:t>We will</w:t>
      </w:r>
      <w:r w:rsidR="00243674">
        <w:rPr>
          <w:sz w:val="24"/>
          <w:szCs w:val="24"/>
        </w:rPr>
        <w:t xml:space="preserve"> now review each of the commitments accepted by the people in their oath. </w:t>
      </w:r>
    </w:p>
    <w:p w14:paraId="416A92C1" w14:textId="77777777" w:rsidR="00243674" w:rsidRPr="006941E2" w:rsidRDefault="00243674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2F53AC15" w14:textId="448EBA6B" w:rsidR="00243674" w:rsidRDefault="006150B6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43674" w:rsidRPr="00DC5CC1">
        <w:rPr>
          <w:b/>
          <w:sz w:val="24"/>
          <w:szCs w:val="24"/>
        </w:rPr>
        <w:t>Intermarriage</w:t>
      </w:r>
      <w:r w:rsidR="00243674">
        <w:rPr>
          <w:sz w:val="24"/>
          <w:szCs w:val="24"/>
        </w:rPr>
        <w:t xml:space="preserve"> –</w:t>
      </w:r>
      <w:r w:rsidR="00DC5CC1">
        <w:rPr>
          <w:sz w:val="24"/>
          <w:szCs w:val="24"/>
        </w:rPr>
        <w:t xml:space="preserve"> </w:t>
      </w:r>
      <w:r w:rsidR="00243674">
        <w:rPr>
          <w:sz w:val="24"/>
          <w:szCs w:val="24"/>
        </w:rPr>
        <w:t xml:space="preserve">Malbim </w:t>
      </w:r>
      <w:r w:rsidR="00437D23">
        <w:rPr>
          <w:sz w:val="24"/>
          <w:szCs w:val="24"/>
        </w:rPr>
        <w:t xml:space="preserve">notes </w:t>
      </w:r>
      <w:r w:rsidR="00243674">
        <w:rPr>
          <w:sz w:val="24"/>
          <w:szCs w:val="24"/>
        </w:rPr>
        <w:t xml:space="preserve">that the intention of our verses is to extend the prohibition of </w:t>
      </w:r>
      <w:r w:rsidR="00243674" w:rsidRPr="00243674">
        <w:rPr>
          <w:i/>
          <w:sz w:val="24"/>
          <w:szCs w:val="24"/>
        </w:rPr>
        <w:t xml:space="preserve">Devarim </w:t>
      </w:r>
      <w:r w:rsidR="00243674">
        <w:rPr>
          <w:sz w:val="24"/>
          <w:szCs w:val="24"/>
        </w:rPr>
        <w:t xml:space="preserve">beyond the Seven Nations. </w:t>
      </w:r>
      <w:r w:rsidR="00437D23">
        <w:rPr>
          <w:sz w:val="24"/>
          <w:szCs w:val="24"/>
        </w:rPr>
        <w:t xml:space="preserve">He and others are silent, however, on the question as to whether this is an interpretation of the verses in </w:t>
      </w:r>
      <w:r w:rsidR="00437D23" w:rsidRPr="00437D23">
        <w:rPr>
          <w:i/>
          <w:sz w:val="24"/>
          <w:szCs w:val="24"/>
        </w:rPr>
        <w:t xml:space="preserve">Devarim </w:t>
      </w:r>
      <w:r w:rsidR="00437D23">
        <w:rPr>
          <w:sz w:val="24"/>
          <w:szCs w:val="24"/>
        </w:rPr>
        <w:t xml:space="preserve">or an extension. In light of the earlier passages in </w:t>
      </w:r>
      <w:r w:rsidR="00437D23" w:rsidRPr="00437D23">
        <w:rPr>
          <w:i/>
          <w:sz w:val="24"/>
          <w:szCs w:val="24"/>
        </w:rPr>
        <w:t xml:space="preserve">Ezra </w:t>
      </w:r>
      <w:r w:rsidR="00437D23">
        <w:rPr>
          <w:sz w:val="24"/>
          <w:szCs w:val="24"/>
        </w:rPr>
        <w:t xml:space="preserve">and </w:t>
      </w:r>
      <w:r w:rsidR="00437D23" w:rsidRPr="00437D23">
        <w:rPr>
          <w:i/>
          <w:sz w:val="24"/>
          <w:szCs w:val="24"/>
        </w:rPr>
        <w:t>Nechemia</w:t>
      </w:r>
      <w:r w:rsidR="00437D23">
        <w:rPr>
          <w:sz w:val="24"/>
          <w:szCs w:val="24"/>
        </w:rPr>
        <w:t xml:space="preserve">, it would appear that the leaders of </w:t>
      </w:r>
      <w:r w:rsidR="00437D23" w:rsidRPr="00437D23">
        <w:rPr>
          <w:i/>
          <w:sz w:val="24"/>
          <w:szCs w:val="24"/>
        </w:rPr>
        <w:t>Shiva</w:t>
      </w:r>
      <w:r w:rsidR="0065125F">
        <w:rPr>
          <w:i/>
          <w:sz w:val="24"/>
          <w:szCs w:val="24"/>
        </w:rPr>
        <w:t>t</w:t>
      </w:r>
      <w:r w:rsidR="00437D23" w:rsidRPr="00437D23">
        <w:rPr>
          <w:i/>
          <w:sz w:val="24"/>
          <w:szCs w:val="24"/>
        </w:rPr>
        <w:t xml:space="preserve"> Tzion </w:t>
      </w:r>
      <w:r w:rsidR="00437D23">
        <w:rPr>
          <w:sz w:val="24"/>
          <w:szCs w:val="24"/>
        </w:rPr>
        <w:t xml:space="preserve">simply held that the prohibition was universal in scope. </w:t>
      </w:r>
    </w:p>
    <w:p w14:paraId="75518410" w14:textId="77777777" w:rsidR="00DD2548" w:rsidRPr="009C5688" w:rsidRDefault="00DD2548" w:rsidP="008819EE">
      <w:pPr>
        <w:pStyle w:val="Normal1"/>
        <w:tabs>
          <w:tab w:val="left" w:pos="720"/>
        </w:tabs>
        <w:spacing w:line="240" w:lineRule="auto"/>
        <w:jc w:val="both"/>
        <w:rPr>
          <w:sz w:val="24"/>
          <w:szCs w:val="24"/>
        </w:rPr>
      </w:pPr>
    </w:p>
    <w:p w14:paraId="4F9BDD37" w14:textId="6C58643E" w:rsidR="00B602BE" w:rsidRDefault="006150B6" w:rsidP="008819EE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602BE" w:rsidRPr="00DD2548">
        <w:rPr>
          <w:b/>
          <w:sz w:val="24"/>
          <w:szCs w:val="24"/>
        </w:rPr>
        <w:t xml:space="preserve">Shabbat </w:t>
      </w:r>
      <w:r w:rsidR="00B602BE">
        <w:rPr>
          <w:sz w:val="24"/>
          <w:szCs w:val="24"/>
        </w:rPr>
        <w:t>–</w:t>
      </w:r>
      <w:r w:rsidR="00C970F2">
        <w:rPr>
          <w:sz w:val="24"/>
          <w:szCs w:val="24"/>
        </w:rPr>
        <w:t xml:space="preserve"> T</w:t>
      </w:r>
      <w:r>
        <w:rPr>
          <w:sz w:val="24"/>
          <w:szCs w:val="24"/>
        </w:rPr>
        <w:t>here appears to be no B</w:t>
      </w:r>
      <w:r w:rsidR="00B602BE">
        <w:rPr>
          <w:sz w:val="24"/>
          <w:szCs w:val="24"/>
        </w:rPr>
        <w:t xml:space="preserve">iblical injunction against engaging in commerce on Shabbat. Thus, at first glance, </w:t>
      </w:r>
      <w:r w:rsidR="00177925">
        <w:rPr>
          <w:sz w:val="24"/>
          <w:szCs w:val="24"/>
        </w:rPr>
        <w:t>it would appear that regarding Shabbat</w:t>
      </w:r>
      <w:r w:rsidR="00594548">
        <w:rPr>
          <w:sz w:val="24"/>
          <w:szCs w:val="24"/>
        </w:rPr>
        <w:t>,</w:t>
      </w:r>
      <w:r w:rsidR="00177925">
        <w:rPr>
          <w:sz w:val="24"/>
          <w:szCs w:val="24"/>
        </w:rPr>
        <w:t xml:space="preserve"> </w:t>
      </w:r>
      <w:r w:rsidR="00B602BE">
        <w:rPr>
          <w:sz w:val="24"/>
          <w:szCs w:val="24"/>
        </w:rPr>
        <w:t>the oath extend</w:t>
      </w:r>
      <w:r w:rsidR="002512F9">
        <w:rPr>
          <w:sz w:val="24"/>
          <w:szCs w:val="24"/>
        </w:rPr>
        <w:t>s</w:t>
      </w:r>
      <w:r>
        <w:rPr>
          <w:sz w:val="24"/>
          <w:szCs w:val="24"/>
        </w:rPr>
        <w:t xml:space="preserve"> beyond that which is B</w:t>
      </w:r>
      <w:r w:rsidR="00B602BE">
        <w:rPr>
          <w:sz w:val="24"/>
          <w:szCs w:val="24"/>
        </w:rPr>
        <w:t>iblically proscribed. Indeed, Malbim (10:32</w:t>
      </w:r>
      <w:r w:rsidR="00445098">
        <w:rPr>
          <w:sz w:val="24"/>
          <w:szCs w:val="24"/>
        </w:rPr>
        <w:t>) makes precisely this point</w:t>
      </w:r>
      <w:r w:rsidR="00B602BE">
        <w:rPr>
          <w:sz w:val="24"/>
          <w:szCs w:val="24"/>
        </w:rPr>
        <w:t>.</w:t>
      </w:r>
      <w:r w:rsidR="00445098">
        <w:rPr>
          <w:sz w:val="24"/>
          <w:szCs w:val="24"/>
        </w:rPr>
        <w:t xml:space="preserve"> How are we to understand this seeming extension?</w:t>
      </w:r>
      <w:r w:rsidR="00B602BE">
        <w:rPr>
          <w:sz w:val="24"/>
          <w:szCs w:val="24"/>
        </w:rPr>
        <w:t xml:space="preserve"> Ralbag (10:31</w:t>
      </w:r>
      <w:r>
        <w:rPr>
          <w:sz w:val="24"/>
          <w:szCs w:val="24"/>
        </w:rPr>
        <w:t>,</w:t>
      </w:r>
      <w:r w:rsidR="00B602BE">
        <w:rPr>
          <w:sz w:val="24"/>
          <w:szCs w:val="24"/>
        </w:rPr>
        <w:t xml:space="preserve"> s.v. </w:t>
      </w:r>
      <w:r w:rsidR="00B602BE" w:rsidRPr="00B602BE">
        <w:rPr>
          <w:i/>
          <w:sz w:val="24"/>
          <w:szCs w:val="24"/>
        </w:rPr>
        <w:t>va’asher</w:t>
      </w:r>
      <w:r w:rsidR="004D00C2">
        <w:rPr>
          <w:sz w:val="24"/>
          <w:szCs w:val="24"/>
        </w:rPr>
        <w:t xml:space="preserve">) </w:t>
      </w:r>
      <w:r w:rsidR="00B602BE">
        <w:rPr>
          <w:sz w:val="24"/>
          <w:szCs w:val="24"/>
        </w:rPr>
        <w:t xml:space="preserve">argues that </w:t>
      </w:r>
      <w:r w:rsidR="00684FA2">
        <w:rPr>
          <w:sz w:val="24"/>
          <w:szCs w:val="24"/>
        </w:rPr>
        <w:t>business</w:t>
      </w:r>
      <w:r w:rsidR="00594548">
        <w:rPr>
          <w:sz w:val="24"/>
          <w:szCs w:val="24"/>
        </w:rPr>
        <w:t xml:space="preserve"> dealings often lead</w:t>
      </w:r>
      <w:r>
        <w:rPr>
          <w:sz w:val="24"/>
          <w:szCs w:val="24"/>
        </w:rPr>
        <w:t xml:space="preserve"> to B</w:t>
      </w:r>
      <w:r w:rsidR="00684FA2">
        <w:rPr>
          <w:sz w:val="24"/>
          <w:szCs w:val="24"/>
        </w:rPr>
        <w:t xml:space="preserve">iblical violations, such as writing on Shabbat. </w:t>
      </w:r>
      <w:r w:rsidR="00445098">
        <w:rPr>
          <w:sz w:val="24"/>
          <w:szCs w:val="24"/>
        </w:rPr>
        <w:t>Thus</w:t>
      </w:r>
      <w:r w:rsidR="004D00C2">
        <w:rPr>
          <w:sz w:val="24"/>
          <w:szCs w:val="24"/>
        </w:rPr>
        <w:t xml:space="preserve">, </w:t>
      </w:r>
      <w:r w:rsidR="004D55C2">
        <w:rPr>
          <w:sz w:val="24"/>
          <w:szCs w:val="24"/>
        </w:rPr>
        <w:t xml:space="preserve">by committing to refrain from commerce, </w:t>
      </w:r>
      <w:r w:rsidR="004D00C2">
        <w:rPr>
          <w:sz w:val="24"/>
          <w:szCs w:val="24"/>
        </w:rPr>
        <w:t xml:space="preserve">the </w:t>
      </w:r>
      <w:r w:rsidR="00594548">
        <w:rPr>
          <w:sz w:val="24"/>
          <w:szCs w:val="24"/>
        </w:rPr>
        <w:t xml:space="preserve">Jews </w:t>
      </w:r>
      <w:r w:rsidR="004D00C2">
        <w:rPr>
          <w:sz w:val="24"/>
          <w:szCs w:val="24"/>
        </w:rPr>
        <w:t xml:space="preserve">were erecting a fence around the Torah. Alternatively, </w:t>
      </w:r>
      <w:r w:rsidR="002375E2">
        <w:rPr>
          <w:sz w:val="24"/>
          <w:szCs w:val="24"/>
        </w:rPr>
        <w:t>according to Ramban</w:t>
      </w:r>
      <w:r w:rsidR="00684FA2">
        <w:rPr>
          <w:sz w:val="24"/>
          <w:szCs w:val="24"/>
        </w:rPr>
        <w:t xml:space="preserve"> (</w:t>
      </w:r>
      <w:r w:rsidR="00684FA2" w:rsidRPr="004D00C2">
        <w:rPr>
          <w:i/>
          <w:sz w:val="24"/>
          <w:szCs w:val="24"/>
        </w:rPr>
        <w:t xml:space="preserve">Vayikra </w:t>
      </w:r>
      <w:r w:rsidR="00684FA2">
        <w:rPr>
          <w:sz w:val="24"/>
          <w:szCs w:val="24"/>
        </w:rPr>
        <w:t xml:space="preserve">23:36), maintaining a business on Shabbat incurs </w:t>
      </w:r>
      <w:r w:rsidR="00F244C1">
        <w:rPr>
          <w:sz w:val="24"/>
          <w:szCs w:val="24"/>
        </w:rPr>
        <w:t xml:space="preserve">a </w:t>
      </w:r>
      <w:r w:rsidR="00684FA2">
        <w:rPr>
          <w:sz w:val="24"/>
          <w:szCs w:val="24"/>
        </w:rPr>
        <w:t xml:space="preserve">violation of </w:t>
      </w:r>
      <w:r w:rsidR="00F244C1">
        <w:rPr>
          <w:sz w:val="24"/>
          <w:szCs w:val="24"/>
        </w:rPr>
        <w:t xml:space="preserve">the positive commandment </w:t>
      </w:r>
      <w:r w:rsidR="00684FA2">
        <w:rPr>
          <w:sz w:val="24"/>
          <w:szCs w:val="24"/>
        </w:rPr>
        <w:t xml:space="preserve">of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s</w:t>
      </w:r>
      <w:r w:rsidR="00684FA2" w:rsidRPr="006150B6">
        <w:rPr>
          <w:i/>
          <w:iCs/>
          <w:sz w:val="24"/>
          <w:szCs w:val="24"/>
        </w:rPr>
        <w:t>habbaton</w:t>
      </w:r>
      <w:r w:rsidR="00F244C1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F244C1">
        <w:rPr>
          <w:sz w:val="24"/>
          <w:szCs w:val="24"/>
        </w:rPr>
        <w:t xml:space="preserve"> creating a Shabbat-appropriate environment</w:t>
      </w:r>
      <w:r w:rsidR="00684FA2">
        <w:rPr>
          <w:sz w:val="24"/>
          <w:szCs w:val="24"/>
        </w:rPr>
        <w:t>. Thus, on his view, one can argue</w:t>
      </w:r>
      <w:r w:rsidR="002375E2">
        <w:rPr>
          <w:sz w:val="24"/>
          <w:szCs w:val="24"/>
        </w:rPr>
        <w:t xml:space="preserve"> </w:t>
      </w:r>
      <w:r w:rsidR="00684FA2">
        <w:rPr>
          <w:sz w:val="24"/>
          <w:szCs w:val="24"/>
        </w:rPr>
        <w:t>that even regarding Shabbat, t</w:t>
      </w:r>
      <w:r w:rsidR="002F4B17">
        <w:rPr>
          <w:sz w:val="24"/>
          <w:szCs w:val="24"/>
        </w:rPr>
        <w:t xml:space="preserve">he Jews </w:t>
      </w:r>
      <w:r>
        <w:rPr>
          <w:sz w:val="24"/>
          <w:szCs w:val="24"/>
        </w:rPr>
        <w:t>we</w:t>
      </w:r>
      <w:r w:rsidR="002F4B17">
        <w:rPr>
          <w:sz w:val="24"/>
          <w:szCs w:val="24"/>
        </w:rPr>
        <w:t>re accepting a preexis</w:t>
      </w:r>
      <w:r w:rsidR="00684FA2">
        <w:rPr>
          <w:sz w:val="24"/>
          <w:szCs w:val="24"/>
        </w:rPr>
        <w:t xml:space="preserve">ting prohibition. </w:t>
      </w:r>
    </w:p>
    <w:p w14:paraId="57A56D06" w14:textId="77777777" w:rsidR="00684FA2" w:rsidRDefault="00684FA2" w:rsidP="008819EE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</w:p>
    <w:p w14:paraId="105EA768" w14:textId="155C7297" w:rsidR="00684FA2" w:rsidRDefault="006150B6" w:rsidP="008819EE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84FA2" w:rsidRPr="006150B6">
        <w:rPr>
          <w:b/>
          <w:i/>
          <w:iCs/>
          <w:sz w:val="24"/>
          <w:szCs w:val="24"/>
        </w:rPr>
        <w:t>Sh</w:t>
      </w:r>
      <w:r w:rsidRPr="006150B6">
        <w:rPr>
          <w:b/>
          <w:i/>
          <w:iCs/>
          <w:sz w:val="24"/>
          <w:szCs w:val="24"/>
        </w:rPr>
        <w:t>e</w:t>
      </w:r>
      <w:r w:rsidR="00684FA2" w:rsidRPr="006150B6">
        <w:rPr>
          <w:b/>
          <w:i/>
          <w:iCs/>
          <w:sz w:val="24"/>
          <w:szCs w:val="24"/>
        </w:rPr>
        <w:t>mita</w:t>
      </w:r>
      <w:r w:rsidR="00684FA2">
        <w:rPr>
          <w:sz w:val="24"/>
          <w:szCs w:val="24"/>
        </w:rPr>
        <w:t xml:space="preserve"> </w:t>
      </w:r>
      <w:r w:rsidR="00906F8F">
        <w:rPr>
          <w:sz w:val="24"/>
          <w:szCs w:val="24"/>
        </w:rPr>
        <w:t>–</w:t>
      </w:r>
      <w:r w:rsidR="00C15769">
        <w:rPr>
          <w:sz w:val="24"/>
          <w:szCs w:val="24"/>
        </w:rPr>
        <w:t xml:space="preserve"> At first glance, </w:t>
      </w:r>
      <w:r w:rsidR="0086135B">
        <w:rPr>
          <w:sz w:val="24"/>
          <w:szCs w:val="24"/>
        </w:rPr>
        <w:t xml:space="preserve">unlike Shabbat, </w:t>
      </w:r>
      <w:r w:rsidR="00C15769">
        <w:rPr>
          <w:sz w:val="24"/>
          <w:szCs w:val="24"/>
        </w:rPr>
        <w:t xml:space="preserve">the people’s commitment to </w:t>
      </w:r>
      <w:r w:rsidR="0086135B">
        <w:rPr>
          <w:sz w:val="24"/>
          <w:szCs w:val="24"/>
        </w:rPr>
        <w:t>the Sabbatical year seems</w:t>
      </w:r>
      <w:r w:rsidR="00E746B9">
        <w:rPr>
          <w:sz w:val="24"/>
          <w:szCs w:val="24"/>
        </w:rPr>
        <w:t xml:space="preserve"> to echo </w:t>
      </w:r>
      <w:r>
        <w:rPr>
          <w:sz w:val="24"/>
          <w:szCs w:val="24"/>
        </w:rPr>
        <w:t>B</w:t>
      </w:r>
      <w:r w:rsidR="00E746B9">
        <w:rPr>
          <w:sz w:val="24"/>
          <w:szCs w:val="24"/>
        </w:rPr>
        <w:t>iblical law</w:t>
      </w:r>
      <w:r w:rsidR="00C15769">
        <w:rPr>
          <w:sz w:val="24"/>
          <w:szCs w:val="24"/>
        </w:rPr>
        <w:t xml:space="preserve">. </w:t>
      </w:r>
      <w:r w:rsidR="006210DC">
        <w:rPr>
          <w:sz w:val="24"/>
          <w:szCs w:val="24"/>
        </w:rPr>
        <w:t xml:space="preserve">But the matter </w:t>
      </w:r>
      <w:r w:rsidR="00C15769">
        <w:rPr>
          <w:sz w:val="24"/>
          <w:szCs w:val="24"/>
        </w:rPr>
        <w:t xml:space="preserve">is not </w:t>
      </w:r>
      <w:r w:rsidR="006210DC">
        <w:rPr>
          <w:sz w:val="24"/>
          <w:szCs w:val="24"/>
        </w:rPr>
        <w:t>so simple. According to the generally accepted view</w:t>
      </w:r>
      <w:r w:rsidR="00C15769">
        <w:rPr>
          <w:sz w:val="24"/>
          <w:szCs w:val="24"/>
        </w:rPr>
        <w:t>,</w:t>
      </w:r>
      <w:r w:rsidR="00E746B9">
        <w:rPr>
          <w:sz w:val="24"/>
          <w:szCs w:val="24"/>
        </w:rPr>
        <w:t xml:space="preserve"> because the majority of Jews had not returned to Israel,</w:t>
      </w:r>
      <w:r w:rsidR="00C15769">
        <w:rPr>
          <w:sz w:val="24"/>
          <w:szCs w:val="24"/>
        </w:rPr>
        <w:t xml:space="preserve"> the obligation</w:t>
      </w:r>
      <w:r w:rsidR="006210DC">
        <w:rPr>
          <w:sz w:val="24"/>
          <w:szCs w:val="24"/>
        </w:rPr>
        <w:t xml:space="preserve"> of </w:t>
      </w:r>
      <w:r>
        <w:rPr>
          <w:i/>
          <w:sz w:val="24"/>
          <w:szCs w:val="24"/>
        </w:rPr>
        <w:t>s</w:t>
      </w:r>
      <w:r w:rsidR="00C15769" w:rsidRPr="006210DC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 w:rsidR="00C15769" w:rsidRPr="006210DC">
        <w:rPr>
          <w:i/>
          <w:sz w:val="24"/>
          <w:szCs w:val="24"/>
        </w:rPr>
        <w:t xml:space="preserve">mita </w:t>
      </w:r>
      <w:r>
        <w:rPr>
          <w:sz w:val="24"/>
          <w:szCs w:val="24"/>
        </w:rPr>
        <w:t>at this time was merely R</w:t>
      </w:r>
      <w:r w:rsidR="006210DC">
        <w:rPr>
          <w:sz w:val="24"/>
          <w:szCs w:val="24"/>
        </w:rPr>
        <w:t>abbini</w:t>
      </w:r>
      <w:r w:rsidR="00C15769">
        <w:rPr>
          <w:sz w:val="24"/>
          <w:szCs w:val="24"/>
        </w:rPr>
        <w:t xml:space="preserve">c </w:t>
      </w:r>
      <w:r w:rsidR="006210DC">
        <w:rPr>
          <w:sz w:val="24"/>
          <w:szCs w:val="24"/>
        </w:rPr>
        <w:t>(</w:t>
      </w:r>
      <w:r w:rsidR="006210DC" w:rsidRPr="006210DC">
        <w:rPr>
          <w:i/>
          <w:sz w:val="24"/>
          <w:szCs w:val="24"/>
        </w:rPr>
        <w:t xml:space="preserve">Gittin </w:t>
      </w:r>
      <w:r w:rsidR="00CC3B28">
        <w:rPr>
          <w:sz w:val="24"/>
          <w:szCs w:val="24"/>
        </w:rPr>
        <w:t>36a</w:t>
      </w:r>
      <w:r w:rsidR="006210DC">
        <w:rPr>
          <w:sz w:val="24"/>
          <w:szCs w:val="24"/>
        </w:rPr>
        <w:t xml:space="preserve"> and parallels)</w:t>
      </w:r>
      <w:r w:rsidR="00C15769">
        <w:rPr>
          <w:sz w:val="24"/>
          <w:szCs w:val="24"/>
        </w:rPr>
        <w:t xml:space="preserve">. This leads </w:t>
      </w:r>
      <w:r w:rsidR="006210DC" w:rsidRPr="00E21908">
        <w:rPr>
          <w:sz w:val="24"/>
          <w:szCs w:val="24"/>
        </w:rPr>
        <w:t xml:space="preserve">Beit Ha-Levi </w:t>
      </w:r>
      <w:r w:rsidR="00E21908" w:rsidRPr="00E21908">
        <w:rPr>
          <w:sz w:val="24"/>
          <w:szCs w:val="24"/>
        </w:rPr>
        <w:t>(</w:t>
      </w:r>
      <w:r w:rsidR="00C15769">
        <w:rPr>
          <w:sz w:val="24"/>
          <w:szCs w:val="24"/>
        </w:rPr>
        <w:t>3:1) to propose that the oath transformed the observan</w:t>
      </w:r>
      <w:r>
        <w:rPr>
          <w:sz w:val="24"/>
          <w:szCs w:val="24"/>
        </w:rPr>
        <w:t>ce of the Sabbatical year from a Rabbinic to B</w:t>
      </w:r>
      <w:r w:rsidR="00C15769">
        <w:rPr>
          <w:sz w:val="24"/>
          <w:szCs w:val="24"/>
        </w:rPr>
        <w:t xml:space="preserve">iblical </w:t>
      </w:r>
      <w:r w:rsidR="006210DC">
        <w:rPr>
          <w:sz w:val="24"/>
          <w:szCs w:val="24"/>
        </w:rPr>
        <w:t>obligation</w:t>
      </w:r>
      <w:r w:rsidR="00C15769">
        <w:rPr>
          <w:sz w:val="24"/>
          <w:szCs w:val="24"/>
        </w:rPr>
        <w:t xml:space="preserve">. </w:t>
      </w:r>
      <w:r w:rsidR="00594578">
        <w:rPr>
          <w:sz w:val="24"/>
          <w:szCs w:val="24"/>
        </w:rPr>
        <w:t xml:space="preserve">Beit Ha-Levi’s interpretation </w:t>
      </w:r>
      <w:r w:rsidR="004908EE">
        <w:rPr>
          <w:sz w:val="24"/>
          <w:szCs w:val="24"/>
        </w:rPr>
        <w:t>is rejected by R</w:t>
      </w:r>
      <w:r>
        <w:rPr>
          <w:sz w:val="24"/>
          <w:szCs w:val="24"/>
        </w:rPr>
        <w:t>. Kook (i</w:t>
      </w:r>
      <w:r w:rsidR="004908EE">
        <w:rPr>
          <w:sz w:val="24"/>
          <w:szCs w:val="24"/>
        </w:rPr>
        <w:t xml:space="preserve">ntroduction to </w:t>
      </w:r>
      <w:r w:rsidR="004908EE" w:rsidRPr="004908EE">
        <w:rPr>
          <w:i/>
          <w:sz w:val="24"/>
          <w:szCs w:val="24"/>
        </w:rPr>
        <w:t xml:space="preserve">Shabbat Ha’aretz </w:t>
      </w:r>
      <w:r w:rsidR="004908EE">
        <w:rPr>
          <w:sz w:val="24"/>
          <w:szCs w:val="24"/>
        </w:rPr>
        <w:t>8) and Chazon Ish (</w:t>
      </w:r>
      <w:r w:rsidR="004908EE" w:rsidRPr="004908EE">
        <w:rPr>
          <w:i/>
          <w:sz w:val="24"/>
          <w:szCs w:val="24"/>
        </w:rPr>
        <w:t>Shevi</w:t>
      </w:r>
      <w:r>
        <w:rPr>
          <w:i/>
          <w:sz w:val="24"/>
          <w:szCs w:val="24"/>
        </w:rPr>
        <w:t>’</w:t>
      </w:r>
      <w:r w:rsidR="004908EE" w:rsidRPr="004908EE">
        <w:rPr>
          <w:i/>
          <w:sz w:val="24"/>
          <w:szCs w:val="24"/>
        </w:rPr>
        <w:t xml:space="preserve">it </w:t>
      </w:r>
      <w:r w:rsidR="004908EE">
        <w:rPr>
          <w:sz w:val="24"/>
          <w:szCs w:val="24"/>
        </w:rPr>
        <w:t xml:space="preserve">18:4), who maintain that </w:t>
      </w:r>
      <w:r>
        <w:rPr>
          <w:i/>
          <w:sz w:val="24"/>
          <w:szCs w:val="24"/>
        </w:rPr>
        <w:t>s</w:t>
      </w:r>
      <w:r w:rsidR="004908EE" w:rsidRPr="00934D27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 w:rsidR="004908EE" w:rsidRPr="00934D27">
        <w:rPr>
          <w:i/>
          <w:sz w:val="24"/>
          <w:szCs w:val="24"/>
        </w:rPr>
        <w:t xml:space="preserve">mita </w:t>
      </w:r>
      <w:r>
        <w:rPr>
          <w:sz w:val="24"/>
          <w:szCs w:val="24"/>
        </w:rPr>
        <w:t>nowadays remains only R</w:t>
      </w:r>
      <w:r w:rsidR="004908EE">
        <w:rPr>
          <w:sz w:val="24"/>
          <w:szCs w:val="24"/>
        </w:rPr>
        <w:t xml:space="preserve">abbinic. </w:t>
      </w:r>
      <w:r w:rsidR="00BC11EE">
        <w:rPr>
          <w:sz w:val="24"/>
          <w:szCs w:val="24"/>
        </w:rPr>
        <w:t>According to both views, it would appear that the people were not merely reiterating the</w:t>
      </w:r>
      <w:r>
        <w:rPr>
          <w:sz w:val="24"/>
          <w:szCs w:val="24"/>
        </w:rPr>
        <w:t xml:space="preserve"> standing B</w:t>
      </w:r>
      <w:r w:rsidR="00AC36D7">
        <w:rPr>
          <w:sz w:val="24"/>
          <w:szCs w:val="24"/>
        </w:rPr>
        <w:t xml:space="preserve">iblical requirement.  </w:t>
      </w:r>
    </w:p>
    <w:p w14:paraId="2640C911" w14:textId="77777777" w:rsidR="004908EE" w:rsidRDefault="004908EE" w:rsidP="008819EE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</w:p>
    <w:p w14:paraId="1E6E60AD" w14:textId="2F2B0A38" w:rsidR="004908EE" w:rsidRDefault="006150B6" w:rsidP="008819EE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908EE" w:rsidRPr="00BC11EE">
        <w:rPr>
          <w:b/>
          <w:sz w:val="24"/>
          <w:szCs w:val="24"/>
        </w:rPr>
        <w:t>1/3 Shekel Donation</w:t>
      </w:r>
      <w:r w:rsidR="004908EE">
        <w:rPr>
          <w:sz w:val="24"/>
          <w:szCs w:val="24"/>
        </w:rPr>
        <w:t xml:space="preserve"> – This is </w:t>
      </w:r>
      <w:r w:rsidR="000301C4">
        <w:rPr>
          <w:sz w:val="24"/>
          <w:szCs w:val="24"/>
        </w:rPr>
        <w:t xml:space="preserve">a </w:t>
      </w:r>
      <w:r w:rsidR="004908EE">
        <w:rPr>
          <w:sz w:val="24"/>
          <w:szCs w:val="24"/>
        </w:rPr>
        <w:t xml:space="preserve">curious </w:t>
      </w:r>
      <w:r w:rsidR="00BC11EE">
        <w:rPr>
          <w:sz w:val="24"/>
          <w:szCs w:val="24"/>
        </w:rPr>
        <w:t xml:space="preserve">aspect </w:t>
      </w:r>
      <w:r>
        <w:rPr>
          <w:sz w:val="24"/>
          <w:szCs w:val="24"/>
        </w:rPr>
        <w:t>of the oath.</w:t>
      </w:r>
      <w:r w:rsidR="004908E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84E7D">
        <w:rPr>
          <w:sz w:val="24"/>
          <w:szCs w:val="24"/>
        </w:rPr>
        <w:t>s opposed to the half-</w:t>
      </w:r>
      <w:r w:rsidR="00084E7D" w:rsidRPr="00D6476D">
        <w:rPr>
          <w:i/>
          <w:sz w:val="24"/>
          <w:szCs w:val="24"/>
        </w:rPr>
        <w:t>shekel</w:t>
      </w:r>
      <w:r w:rsidR="00084E7D">
        <w:rPr>
          <w:sz w:val="24"/>
          <w:szCs w:val="24"/>
        </w:rPr>
        <w:t xml:space="preserve">, familiar from </w:t>
      </w:r>
      <w:r w:rsidR="00322E97">
        <w:rPr>
          <w:i/>
          <w:sz w:val="24"/>
          <w:szCs w:val="24"/>
        </w:rPr>
        <w:t>Parashat Ki Tis</w:t>
      </w:r>
      <w:r w:rsidR="00084E7D" w:rsidRPr="00D6476D">
        <w:rPr>
          <w:i/>
          <w:sz w:val="24"/>
          <w:szCs w:val="24"/>
        </w:rPr>
        <w:t>a</w:t>
      </w:r>
      <w:r w:rsidR="00D6476D">
        <w:rPr>
          <w:sz w:val="24"/>
          <w:szCs w:val="24"/>
        </w:rPr>
        <w:t>, the Jews</w:t>
      </w:r>
      <w:r w:rsidR="00457C38">
        <w:rPr>
          <w:sz w:val="24"/>
          <w:szCs w:val="24"/>
        </w:rPr>
        <w:t xml:space="preserve"> commit to donate</w:t>
      </w:r>
      <w:r w:rsidR="00084E7D">
        <w:rPr>
          <w:sz w:val="24"/>
          <w:szCs w:val="24"/>
        </w:rPr>
        <w:t xml:space="preserve"> a third of a </w:t>
      </w:r>
      <w:r w:rsidR="00084E7D" w:rsidRPr="00AC36D7">
        <w:rPr>
          <w:i/>
          <w:sz w:val="24"/>
          <w:szCs w:val="24"/>
        </w:rPr>
        <w:t xml:space="preserve">shekel </w:t>
      </w:r>
      <w:r w:rsidR="00084E7D">
        <w:rPr>
          <w:sz w:val="24"/>
          <w:szCs w:val="24"/>
        </w:rPr>
        <w:t xml:space="preserve">apiece each year. How </w:t>
      </w:r>
      <w:r w:rsidR="0092745B">
        <w:rPr>
          <w:sz w:val="24"/>
          <w:szCs w:val="24"/>
        </w:rPr>
        <w:t xml:space="preserve">does this </w:t>
      </w:r>
      <w:r>
        <w:rPr>
          <w:sz w:val="24"/>
          <w:szCs w:val="24"/>
        </w:rPr>
        <w:t>fit with the B</w:t>
      </w:r>
      <w:r w:rsidR="00084E7D">
        <w:rPr>
          <w:sz w:val="24"/>
          <w:szCs w:val="24"/>
        </w:rPr>
        <w:t xml:space="preserve">iblical requirement? </w:t>
      </w:r>
      <w:r w:rsidR="00084E7D">
        <w:rPr>
          <w:sz w:val="24"/>
          <w:szCs w:val="24"/>
        </w:rPr>
        <w:lastRenderedPageBreak/>
        <w:t>There are two schools of thought among the commentators. Ibn Ezra (10:33</w:t>
      </w:r>
      <w:r>
        <w:rPr>
          <w:sz w:val="24"/>
          <w:szCs w:val="24"/>
        </w:rPr>
        <w:t>,</w:t>
      </w:r>
      <w:r w:rsidR="00084E7D">
        <w:rPr>
          <w:sz w:val="24"/>
          <w:szCs w:val="24"/>
        </w:rPr>
        <w:t xml:space="preserve"> s.v. </w:t>
      </w:r>
      <w:r w:rsidR="00084E7D" w:rsidRPr="00D6476D">
        <w:rPr>
          <w:i/>
          <w:sz w:val="24"/>
          <w:szCs w:val="24"/>
        </w:rPr>
        <w:t>shelishit</w:t>
      </w:r>
      <w:r w:rsidR="00084E7D">
        <w:rPr>
          <w:sz w:val="24"/>
          <w:szCs w:val="24"/>
        </w:rPr>
        <w:t xml:space="preserve">) and </w:t>
      </w:r>
      <w:r w:rsidR="00084E7D" w:rsidRPr="00D6476D">
        <w:rPr>
          <w:sz w:val="24"/>
          <w:szCs w:val="24"/>
        </w:rPr>
        <w:t xml:space="preserve">Metzudat David </w:t>
      </w:r>
      <w:r w:rsidR="00084E7D">
        <w:rPr>
          <w:sz w:val="24"/>
          <w:szCs w:val="24"/>
        </w:rPr>
        <w:t xml:space="preserve">(ibid., s.v. </w:t>
      </w:r>
      <w:r w:rsidR="00084E7D" w:rsidRPr="00D6476D">
        <w:rPr>
          <w:i/>
          <w:sz w:val="24"/>
          <w:szCs w:val="24"/>
        </w:rPr>
        <w:t>ve-he’emadnu</w:t>
      </w:r>
      <w:r w:rsidR="00084E7D">
        <w:rPr>
          <w:sz w:val="24"/>
          <w:szCs w:val="24"/>
        </w:rPr>
        <w:t xml:space="preserve">) suggest that the 1/3 </w:t>
      </w:r>
      <w:r w:rsidR="00084E7D" w:rsidRPr="00D6476D">
        <w:rPr>
          <w:i/>
          <w:sz w:val="24"/>
          <w:szCs w:val="24"/>
        </w:rPr>
        <w:t xml:space="preserve">shekel </w:t>
      </w:r>
      <w:r w:rsidR="00084E7D">
        <w:rPr>
          <w:sz w:val="24"/>
          <w:szCs w:val="24"/>
        </w:rPr>
        <w:t xml:space="preserve">was in addition to </w:t>
      </w:r>
      <w:r w:rsidR="00084E7D" w:rsidRPr="00084E7D">
        <w:rPr>
          <w:i/>
          <w:sz w:val="24"/>
          <w:szCs w:val="24"/>
        </w:rPr>
        <w:t>Shemot</w:t>
      </w:r>
      <w:r w:rsidR="00084E7D">
        <w:rPr>
          <w:sz w:val="24"/>
          <w:szCs w:val="24"/>
        </w:rPr>
        <w:t xml:space="preserve">’s 1/2 </w:t>
      </w:r>
      <w:r w:rsidR="00084E7D" w:rsidRPr="00D6476D">
        <w:rPr>
          <w:i/>
          <w:sz w:val="24"/>
          <w:szCs w:val="24"/>
        </w:rPr>
        <w:t>shekel</w:t>
      </w:r>
      <w:r w:rsidR="00084E7D">
        <w:rPr>
          <w:sz w:val="24"/>
          <w:szCs w:val="24"/>
        </w:rPr>
        <w:t>. Ramban (</w:t>
      </w:r>
      <w:r w:rsidR="00084E7D" w:rsidRPr="00D6476D">
        <w:rPr>
          <w:i/>
          <w:sz w:val="24"/>
          <w:szCs w:val="24"/>
        </w:rPr>
        <w:t xml:space="preserve">Shemot </w:t>
      </w:r>
      <w:r w:rsidR="00084E7D">
        <w:rPr>
          <w:sz w:val="24"/>
          <w:szCs w:val="24"/>
        </w:rPr>
        <w:t>30:12) and Ralbag (</w:t>
      </w:r>
      <w:r w:rsidR="00084E7D" w:rsidRPr="00D6476D">
        <w:rPr>
          <w:i/>
          <w:sz w:val="24"/>
          <w:szCs w:val="24"/>
        </w:rPr>
        <w:t xml:space="preserve">Nechemia </w:t>
      </w:r>
      <w:r w:rsidR="00084E7D">
        <w:rPr>
          <w:sz w:val="24"/>
          <w:szCs w:val="24"/>
        </w:rPr>
        <w:t>10:33</w:t>
      </w:r>
      <w:r>
        <w:rPr>
          <w:sz w:val="24"/>
          <w:szCs w:val="24"/>
        </w:rPr>
        <w:t>,</w:t>
      </w:r>
      <w:r w:rsidR="00084E7D">
        <w:rPr>
          <w:sz w:val="24"/>
          <w:szCs w:val="24"/>
        </w:rPr>
        <w:t xml:space="preserve"> s.v. </w:t>
      </w:r>
      <w:r w:rsidR="00084E7D" w:rsidRPr="00D6476D">
        <w:rPr>
          <w:i/>
          <w:sz w:val="24"/>
          <w:szCs w:val="24"/>
        </w:rPr>
        <w:t>la</w:t>
      </w:r>
      <w:r>
        <w:rPr>
          <w:i/>
          <w:sz w:val="24"/>
          <w:szCs w:val="24"/>
        </w:rPr>
        <w:t>-</w:t>
      </w:r>
      <w:r w:rsidR="00084E7D" w:rsidRPr="00D6476D">
        <w:rPr>
          <w:i/>
          <w:sz w:val="24"/>
          <w:szCs w:val="24"/>
        </w:rPr>
        <w:t>tet</w:t>
      </w:r>
      <w:r w:rsidR="00084E7D">
        <w:rPr>
          <w:sz w:val="24"/>
          <w:szCs w:val="24"/>
        </w:rPr>
        <w:t>) suggest</w:t>
      </w:r>
      <w:r w:rsidR="00DF7836">
        <w:rPr>
          <w:sz w:val="24"/>
          <w:szCs w:val="24"/>
        </w:rPr>
        <w:t xml:space="preserve"> that the size of the </w:t>
      </w:r>
      <w:r w:rsidR="00DF7836" w:rsidRPr="006150B6">
        <w:rPr>
          <w:i/>
          <w:iCs/>
          <w:sz w:val="24"/>
          <w:szCs w:val="24"/>
        </w:rPr>
        <w:t>shekel</w:t>
      </w:r>
      <w:r w:rsidR="00DF7836">
        <w:rPr>
          <w:sz w:val="24"/>
          <w:szCs w:val="24"/>
        </w:rPr>
        <w:t xml:space="preserve"> had</w:t>
      </w:r>
      <w:r w:rsidR="00084E7D">
        <w:rPr>
          <w:sz w:val="24"/>
          <w:szCs w:val="24"/>
        </w:rPr>
        <w:t xml:space="preserve"> changed over the years, and a contemporary 1/3 </w:t>
      </w:r>
      <w:r w:rsidR="00084E7D" w:rsidRPr="006150B6">
        <w:rPr>
          <w:i/>
          <w:iCs/>
          <w:sz w:val="24"/>
          <w:szCs w:val="24"/>
        </w:rPr>
        <w:t>shekel</w:t>
      </w:r>
      <w:r w:rsidR="00AC36D7">
        <w:rPr>
          <w:sz w:val="24"/>
          <w:szCs w:val="24"/>
        </w:rPr>
        <w:t xml:space="preserve"> in fact equaled the Torah’s 1/2</w:t>
      </w:r>
      <w:r w:rsidR="00084E7D">
        <w:rPr>
          <w:sz w:val="24"/>
          <w:szCs w:val="24"/>
        </w:rPr>
        <w:t xml:space="preserve"> </w:t>
      </w:r>
      <w:r w:rsidR="00084E7D" w:rsidRPr="006150B6">
        <w:rPr>
          <w:i/>
          <w:iCs/>
          <w:sz w:val="24"/>
          <w:szCs w:val="24"/>
        </w:rPr>
        <w:t>shekel</w:t>
      </w:r>
      <w:r w:rsidR="00084E7D">
        <w:rPr>
          <w:sz w:val="24"/>
          <w:szCs w:val="24"/>
        </w:rPr>
        <w:t xml:space="preserve">. </w:t>
      </w:r>
      <w:r w:rsidR="000301C4">
        <w:rPr>
          <w:sz w:val="24"/>
          <w:szCs w:val="24"/>
        </w:rPr>
        <w:t>Malbi</w:t>
      </w:r>
      <w:r w:rsidR="00AC36D7">
        <w:rPr>
          <w:sz w:val="24"/>
          <w:szCs w:val="24"/>
        </w:rPr>
        <w:t>m cites both views.</w:t>
      </w:r>
      <w:r w:rsidR="00084E7D">
        <w:rPr>
          <w:sz w:val="24"/>
          <w:szCs w:val="24"/>
        </w:rPr>
        <w:t xml:space="preserve"> </w:t>
      </w:r>
      <w:r w:rsidR="00694DC9">
        <w:rPr>
          <w:sz w:val="24"/>
          <w:szCs w:val="24"/>
        </w:rPr>
        <w:t>T</w:t>
      </w:r>
      <w:r w:rsidR="008122D6">
        <w:rPr>
          <w:sz w:val="24"/>
          <w:szCs w:val="24"/>
        </w:rPr>
        <w:t>his</w:t>
      </w:r>
      <w:r w:rsidR="00084E7D">
        <w:rPr>
          <w:sz w:val="24"/>
          <w:szCs w:val="24"/>
        </w:rPr>
        <w:t xml:space="preserve"> dispute </w:t>
      </w:r>
      <w:r w:rsidR="004D3386">
        <w:rPr>
          <w:sz w:val="24"/>
          <w:szCs w:val="24"/>
        </w:rPr>
        <w:t xml:space="preserve">appears </w:t>
      </w:r>
      <w:r w:rsidR="00084E7D">
        <w:rPr>
          <w:sz w:val="24"/>
          <w:szCs w:val="24"/>
        </w:rPr>
        <w:t xml:space="preserve">to </w:t>
      </w:r>
      <w:r w:rsidR="000301C4">
        <w:rPr>
          <w:sz w:val="24"/>
          <w:szCs w:val="24"/>
        </w:rPr>
        <w:t xml:space="preserve">hinge on </w:t>
      </w:r>
      <w:r w:rsidR="00E6124F">
        <w:rPr>
          <w:sz w:val="24"/>
          <w:szCs w:val="24"/>
        </w:rPr>
        <w:t>our initial question,</w:t>
      </w:r>
      <w:r w:rsidR="00AC36D7">
        <w:rPr>
          <w:sz w:val="24"/>
          <w:szCs w:val="24"/>
        </w:rPr>
        <w:t xml:space="preserve"> namely </w:t>
      </w:r>
      <w:r w:rsidR="000301C4">
        <w:rPr>
          <w:sz w:val="24"/>
          <w:szCs w:val="24"/>
        </w:rPr>
        <w:t xml:space="preserve">whether we understand the Jews as merely recommitting themselves to Torah </w:t>
      </w:r>
      <w:r>
        <w:rPr>
          <w:sz w:val="24"/>
          <w:szCs w:val="24"/>
        </w:rPr>
        <w:t>law</w:t>
      </w:r>
      <w:r w:rsidR="000301C4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as</w:t>
      </w:r>
      <w:r w:rsidR="000301C4">
        <w:rPr>
          <w:sz w:val="24"/>
          <w:szCs w:val="24"/>
        </w:rPr>
        <w:t xml:space="preserve"> accepting upon themselves additional practices. </w:t>
      </w:r>
    </w:p>
    <w:p w14:paraId="0B7F9BFA" w14:textId="77777777" w:rsidR="004908EE" w:rsidRDefault="004908EE" w:rsidP="008819EE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</w:p>
    <w:p w14:paraId="407FAC2B" w14:textId="2517AA81" w:rsidR="000301C4" w:rsidRDefault="006150B6" w:rsidP="008819EE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301C4" w:rsidRPr="00FE6F15">
        <w:rPr>
          <w:b/>
          <w:sz w:val="24"/>
          <w:szCs w:val="24"/>
        </w:rPr>
        <w:t xml:space="preserve">Wood Sacrifice </w:t>
      </w:r>
      <w:r w:rsidR="000301C4">
        <w:rPr>
          <w:sz w:val="24"/>
          <w:szCs w:val="24"/>
        </w:rPr>
        <w:t xml:space="preserve">– This is arguably the most perplexing element of the oath, and </w:t>
      </w:r>
      <w:r w:rsidR="00FE6F15">
        <w:rPr>
          <w:sz w:val="24"/>
          <w:szCs w:val="24"/>
        </w:rPr>
        <w:t xml:space="preserve">perhaps </w:t>
      </w:r>
      <w:r w:rsidR="000301C4">
        <w:rPr>
          <w:sz w:val="24"/>
          <w:szCs w:val="24"/>
        </w:rPr>
        <w:t xml:space="preserve">the clearest evidence that the people </w:t>
      </w:r>
      <w:r w:rsidR="0092197E">
        <w:rPr>
          <w:sz w:val="24"/>
          <w:szCs w:val="24"/>
        </w:rPr>
        <w:t xml:space="preserve">were going </w:t>
      </w:r>
      <w:r w:rsidR="00AC36D7">
        <w:rPr>
          <w:sz w:val="24"/>
          <w:szCs w:val="24"/>
        </w:rPr>
        <w:t xml:space="preserve">beyond </w:t>
      </w:r>
      <w:r>
        <w:rPr>
          <w:sz w:val="24"/>
          <w:szCs w:val="24"/>
        </w:rPr>
        <w:t>B</w:t>
      </w:r>
      <w:r w:rsidR="00AC36D7">
        <w:rPr>
          <w:sz w:val="24"/>
          <w:szCs w:val="24"/>
        </w:rPr>
        <w:t>iblical law. N</w:t>
      </w:r>
      <w:r w:rsidR="000301C4">
        <w:rPr>
          <w:sz w:val="24"/>
          <w:szCs w:val="24"/>
        </w:rPr>
        <w:t xml:space="preserve">owhere in the Torah is there an obligation to offer the wood sacrifice. </w:t>
      </w:r>
      <w:r w:rsidR="000019A1">
        <w:rPr>
          <w:sz w:val="24"/>
          <w:szCs w:val="24"/>
        </w:rPr>
        <w:t>Indeed, in describing the details of this sacrifice, the Talmud (</w:t>
      </w:r>
      <w:r w:rsidR="000019A1" w:rsidRPr="00046A4D">
        <w:rPr>
          <w:i/>
          <w:sz w:val="24"/>
          <w:szCs w:val="24"/>
        </w:rPr>
        <w:t>Ta</w:t>
      </w:r>
      <w:r>
        <w:rPr>
          <w:i/>
          <w:sz w:val="24"/>
          <w:szCs w:val="24"/>
        </w:rPr>
        <w:t>’</w:t>
      </w:r>
      <w:r w:rsidR="000019A1" w:rsidRPr="00046A4D">
        <w:rPr>
          <w:i/>
          <w:sz w:val="24"/>
          <w:szCs w:val="24"/>
        </w:rPr>
        <w:t xml:space="preserve">anit </w:t>
      </w:r>
      <w:r w:rsidR="000019A1">
        <w:rPr>
          <w:sz w:val="24"/>
          <w:szCs w:val="24"/>
        </w:rPr>
        <w:t>28a) draws</w:t>
      </w:r>
      <w:r w:rsidR="00E22EFB">
        <w:rPr>
          <w:sz w:val="24"/>
          <w:szCs w:val="24"/>
        </w:rPr>
        <w:t xml:space="preserve"> on our verses in asserting that when the Jews returned to Israel</w:t>
      </w:r>
      <w:r w:rsidR="009C51CC">
        <w:rPr>
          <w:sz w:val="24"/>
          <w:szCs w:val="24"/>
        </w:rPr>
        <w:t>,</w:t>
      </w:r>
      <w:r w:rsidR="00E22EFB">
        <w:rPr>
          <w:sz w:val="24"/>
          <w:szCs w:val="24"/>
        </w:rPr>
        <w:t xml:space="preserve"> they struggled to locate firewoo</w:t>
      </w:r>
      <w:r w:rsidR="0027047A">
        <w:rPr>
          <w:sz w:val="24"/>
          <w:szCs w:val="24"/>
        </w:rPr>
        <w:t>d for the altar, and individual</w:t>
      </w:r>
      <w:r w:rsidR="00E22EFB">
        <w:rPr>
          <w:sz w:val="24"/>
          <w:szCs w:val="24"/>
        </w:rPr>
        <w:t xml:space="preserve"> families donated wood to the Temple. After this occurrence, the prophets legislated that </w:t>
      </w:r>
      <w:r w:rsidR="0027047A">
        <w:rPr>
          <w:sz w:val="24"/>
          <w:szCs w:val="24"/>
        </w:rPr>
        <w:t>families would al</w:t>
      </w:r>
      <w:r w:rsidR="005406A5">
        <w:rPr>
          <w:sz w:val="24"/>
          <w:szCs w:val="24"/>
        </w:rPr>
        <w:t>ways donate wood for the service, even when there was enough</w:t>
      </w:r>
      <w:r w:rsidR="00AC36D7">
        <w:rPr>
          <w:sz w:val="24"/>
          <w:szCs w:val="24"/>
        </w:rPr>
        <w:t xml:space="preserve"> timber</w:t>
      </w:r>
      <w:r w:rsidR="005406A5">
        <w:rPr>
          <w:sz w:val="24"/>
          <w:szCs w:val="24"/>
        </w:rPr>
        <w:t xml:space="preserve"> in the Temple treasury. </w:t>
      </w:r>
    </w:p>
    <w:p w14:paraId="30C2E9BA" w14:textId="77777777" w:rsidR="000301C4" w:rsidRDefault="000301C4" w:rsidP="008819EE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</w:p>
    <w:p w14:paraId="0EBEFFEA" w14:textId="192D6464" w:rsidR="000019A1" w:rsidRDefault="006150B6" w:rsidP="00760F47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019A1" w:rsidRPr="006150B6">
        <w:rPr>
          <w:b/>
          <w:i/>
          <w:iCs/>
          <w:sz w:val="24"/>
          <w:szCs w:val="24"/>
        </w:rPr>
        <w:t>Bikkurim</w:t>
      </w:r>
      <w:r w:rsidR="000019A1" w:rsidRPr="005406A5">
        <w:rPr>
          <w:b/>
          <w:sz w:val="24"/>
          <w:szCs w:val="24"/>
        </w:rPr>
        <w:t xml:space="preserve"> </w:t>
      </w:r>
      <w:r w:rsidR="000019A1">
        <w:rPr>
          <w:sz w:val="24"/>
          <w:szCs w:val="24"/>
        </w:rPr>
        <w:t>–</w:t>
      </w:r>
      <w:r w:rsidR="005577D9">
        <w:rPr>
          <w:sz w:val="24"/>
          <w:szCs w:val="24"/>
        </w:rPr>
        <w:t xml:space="preserve"> T</w:t>
      </w:r>
      <w:r w:rsidR="000019A1">
        <w:rPr>
          <w:sz w:val="24"/>
          <w:szCs w:val="24"/>
        </w:rPr>
        <w:t xml:space="preserve">he obligation of </w:t>
      </w:r>
      <w:r w:rsidR="000019A1" w:rsidRPr="00A679B7">
        <w:rPr>
          <w:i/>
          <w:sz w:val="24"/>
          <w:szCs w:val="24"/>
        </w:rPr>
        <w:t>bikkurim</w:t>
      </w:r>
      <w:r w:rsidR="005577D9">
        <w:rPr>
          <w:sz w:val="24"/>
          <w:szCs w:val="24"/>
        </w:rPr>
        <w:t xml:space="preserve"> is the oath’s final noteworthy element</w:t>
      </w:r>
      <w:r w:rsidR="000019A1">
        <w:rPr>
          <w:sz w:val="24"/>
          <w:szCs w:val="24"/>
        </w:rPr>
        <w:t xml:space="preserve">. </w:t>
      </w:r>
      <w:r w:rsidR="00A679B7">
        <w:rPr>
          <w:sz w:val="24"/>
          <w:szCs w:val="24"/>
        </w:rPr>
        <w:t xml:space="preserve">Interestingly, </w:t>
      </w:r>
      <w:r w:rsidR="000019A1">
        <w:rPr>
          <w:sz w:val="24"/>
          <w:szCs w:val="24"/>
        </w:rPr>
        <w:t xml:space="preserve">the verses seem to </w:t>
      </w:r>
      <w:r w:rsidR="00C732BA">
        <w:rPr>
          <w:sz w:val="24"/>
          <w:szCs w:val="24"/>
        </w:rPr>
        <w:t xml:space="preserve">indicate </w:t>
      </w:r>
      <w:r w:rsidR="000019A1">
        <w:rPr>
          <w:sz w:val="24"/>
          <w:szCs w:val="24"/>
        </w:rPr>
        <w:t xml:space="preserve">that </w:t>
      </w:r>
      <w:r w:rsidR="000019A1" w:rsidRPr="00A679B7">
        <w:rPr>
          <w:i/>
          <w:sz w:val="24"/>
          <w:szCs w:val="24"/>
        </w:rPr>
        <w:t xml:space="preserve">bikkurim </w:t>
      </w:r>
      <w:r w:rsidR="00C732BA">
        <w:rPr>
          <w:sz w:val="24"/>
          <w:szCs w:val="24"/>
        </w:rPr>
        <w:t>are</w:t>
      </w:r>
      <w:r w:rsidR="000019A1">
        <w:rPr>
          <w:sz w:val="24"/>
          <w:szCs w:val="24"/>
        </w:rPr>
        <w:t xml:space="preserve"> to be brought from all fruit. This contradict</w:t>
      </w:r>
      <w:r w:rsidR="00E5512B">
        <w:rPr>
          <w:sz w:val="24"/>
          <w:szCs w:val="24"/>
        </w:rPr>
        <w:t>s</w:t>
      </w:r>
      <w:r w:rsidR="000019A1">
        <w:rPr>
          <w:sz w:val="24"/>
          <w:szCs w:val="24"/>
        </w:rPr>
        <w:t xml:space="preserve"> the </w:t>
      </w:r>
      <w:r w:rsidR="00886733">
        <w:rPr>
          <w:sz w:val="24"/>
          <w:szCs w:val="24"/>
        </w:rPr>
        <w:t>tradition</w:t>
      </w:r>
      <w:r w:rsidR="00AC0950">
        <w:rPr>
          <w:sz w:val="24"/>
          <w:szCs w:val="24"/>
        </w:rPr>
        <w:t xml:space="preserve">ally-accepted </w:t>
      </w:r>
      <w:r w:rsidR="00886733">
        <w:rPr>
          <w:sz w:val="24"/>
          <w:szCs w:val="24"/>
        </w:rPr>
        <w:t xml:space="preserve">view </w:t>
      </w:r>
      <w:r w:rsidR="000019A1">
        <w:rPr>
          <w:sz w:val="24"/>
          <w:szCs w:val="24"/>
        </w:rPr>
        <w:t>that the first</w:t>
      </w:r>
      <w:r>
        <w:rPr>
          <w:sz w:val="24"/>
          <w:szCs w:val="24"/>
        </w:rPr>
        <w:t>-</w:t>
      </w:r>
      <w:r w:rsidR="000019A1">
        <w:rPr>
          <w:sz w:val="24"/>
          <w:szCs w:val="24"/>
        </w:rPr>
        <w:t>fruit</w:t>
      </w:r>
      <w:r>
        <w:rPr>
          <w:sz w:val="24"/>
          <w:szCs w:val="24"/>
        </w:rPr>
        <w:t>s</w:t>
      </w:r>
      <w:r w:rsidR="000019A1">
        <w:rPr>
          <w:sz w:val="24"/>
          <w:szCs w:val="24"/>
        </w:rPr>
        <w:t xml:space="preserve"> need only be brought from the Seven Species of Israel. </w:t>
      </w:r>
      <w:r w:rsidR="0009046B">
        <w:rPr>
          <w:sz w:val="24"/>
          <w:szCs w:val="24"/>
        </w:rPr>
        <w:t xml:space="preserve">Indeed, the Talmud </w:t>
      </w:r>
      <w:proofErr w:type="spellStart"/>
      <w:r w:rsidR="0009046B">
        <w:rPr>
          <w:sz w:val="24"/>
          <w:szCs w:val="24"/>
        </w:rPr>
        <w:t>Yerushalmi</w:t>
      </w:r>
      <w:proofErr w:type="spellEnd"/>
      <w:r w:rsidR="0009046B">
        <w:rPr>
          <w:sz w:val="24"/>
          <w:szCs w:val="24"/>
        </w:rPr>
        <w:t xml:space="preserve"> (</w:t>
      </w:r>
      <w:proofErr w:type="spellStart"/>
      <w:r w:rsidR="0009046B" w:rsidRPr="0009046B">
        <w:rPr>
          <w:i/>
          <w:sz w:val="24"/>
          <w:szCs w:val="24"/>
        </w:rPr>
        <w:t>Bikkurim</w:t>
      </w:r>
      <w:proofErr w:type="spellEnd"/>
      <w:r w:rsidR="0009046B" w:rsidRPr="0009046B">
        <w:rPr>
          <w:i/>
          <w:sz w:val="24"/>
          <w:szCs w:val="24"/>
        </w:rPr>
        <w:t xml:space="preserve"> </w:t>
      </w:r>
      <w:r w:rsidR="00760F47">
        <w:rPr>
          <w:sz w:val="24"/>
          <w:szCs w:val="24"/>
        </w:rPr>
        <w:t>1</w:t>
      </w:r>
      <w:r w:rsidR="0009046B">
        <w:rPr>
          <w:sz w:val="24"/>
          <w:szCs w:val="24"/>
        </w:rPr>
        <w:t>:</w:t>
      </w:r>
      <w:r w:rsidR="00760F47">
        <w:rPr>
          <w:sz w:val="24"/>
          <w:szCs w:val="24"/>
        </w:rPr>
        <w:t>3</w:t>
      </w:r>
      <w:r w:rsidR="000019A1">
        <w:rPr>
          <w:sz w:val="24"/>
          <w:szCs w:val="24"/>
        </w:rPr>
        <w:t>) assert</w:t>
      </w:r>
      <w:r w:rsidR="0009046B">
        <w:rPr>
          <w:sz w:val="24"/>
          <w:szCs w:val="24"/>
        </w:rPr>
        <w:t>s</w:t>
      </w:r>
      <w:r w:rsidR="0037565C">
        <w:rPr>
          <w:sz w:val="24"/>
          <w:szCs w:val="24"/>
        </w:rPr>
        <w:t xml:space="preserve"> that one does not</w:t>
      </w:r>
      <w:r w:rsidR="000019A1">
        <w:rPr>
          <w:sz w:val="24"/>
          <w:szCs w:val="24"/>
        </w:rPr>
        <w:t xml:space="preserve"> even have the option </w:t>
      </w:r>
      <w:r w:rsidR="00D20964">
        <w:rPr>
          <w:sz w:val="24"/>
          <w:szCs w:val="24"/>
        </w:rPr>
        <w:t xml:space="preserve">of bringing </w:t>
      </w:r>
      <w:r w:rsidR="000019A1">
        <w:rPr>
          <w:sz w:val="24"/>
          <w:szCs w:val="24"/>
        </w:rPr>
        <w:t>first</w:t>
      </w:r>
      <w:r>
        <w:rPr>
          <w:sz w:val="24"/>
          <w:szCs w:val="24"/>
        </w:rPr>
        <w:t>-</w:t>
      </w:r>
      <w:r w:rsidR="000019A1">
        <w:rPr>
          <w:sz w:val="24"/>
          <w:szCs w:val="24"/>
        </w:rPr>
        <w:t xml:space="preserve">fruit from other species. </w:t>
      </w:r>
      <w:r>
        <w:rPr>
          <w:sz w:val="24"/>
          <w:szCs w:val="24"/>
        </w:rPr>
        <w:t>O</w:t>
      </w:r>
      <w:r w:rsidR="000019A1">
        <w:rPr>
          <w:sz w:val="24"/>
          <w:szCs w:val="24"/>
        </w:rPr>
        <w:t>n the basis of this</w:t>
      </w:r>
      <w:r w:rsidR="00ED03D8">
        <w:rPr>
          <w:sz w:val="24"/>
          <w:szCs w:val="24"/>
        </w:rPr>
        <w:t xml:space="preserve"> ruling, Ibn Ezra (10:36</w:t>
      </w:r>
      <w:r>
        <w:rPr>
          <w:sz w:val="24"/>
          <w:szCs w:val="24"/>
        </w:rPr>
        <w:t>,</w:t>
      </w:r>
      <w:r w:rsidR="00ED03D8">
        <w:rPr>
          <w:sz w:val="24"/>
          <w:szCs w:val="24"/>
        </w:rPr>
        <w:t xml:space="preserve"> s.v. </w:t>
      </w:r>
      <w:r w:rsidR="00ED03D8" w:rsidRPr="00A04917">
        <w:rPr>
          <w:i/>
          <w:sz w:val="24"/>
          <w:szCs w:val="24"/>
        </w:rPr>
        <w:t>kol</w:t>
      </w:r>
      <w:r w:rsidR="00ED03D8">
        <w:rPr>
          <w:sz w:val="24"/>
          <w:szCs w:val="24"/>
        </w:rPr>
        <w:t xml:space="preserve">), </w:t>
      </w:r>
      <w:r w:rsidR="000019A1">
        <w:rPr>
          <w:sz w:val="24"/>
          <w:szCs w:val="24"/>
        </w:rPr>
        <w:t xml:space="preserve">Ralbag (ibid., s.v. </w:t>
      </w:r>
      <w:r w:rsidR="00786862" w:rsidRPr="00A04917">
        <w:rPr>
          <w:i/>
          <w:sz w:val="24"/>
          <w:szCs w:val="24"/>
        </w:rPr>
        <w:t>u-vikurei</w:t>
      </w:r>
      <w:r w:rsidR="00786862">
        <w:rPr>
          <w:sz w:val="24"/>
          <w:szCs w:val="24"/>
        </w:rPr>
        <w:t xml:space="preserve">) </w:t>
      </w:r>
      <w:r w:rsidR="00ED03D8">
        <w:rPr>
          <w:sz w:val="24"/>
          <w:szCs w:val="24"/>
        </w:rPr>
        <w:t xml:space="preserve">and Malbim (s.v. </w:t>
      </w:r>
      <w:r w:rsidR="00ED03D8" w:rsidRPr="00A04917">
        <w:rPr>
          <w:i/>
          <w:sz w:val="24"/>
          <w:szCs w:val="24"/>
        </w:rPr>
        <w:t>u-lehavi</w:t>
      </w:r>
      <w:r w:rsidR="00ED03D8">
        <w:rPr>
          <w:sz w:val="24"/>
          <w:szCs w:val="24"/>
        </w:rPr>
        <w:t xml:space="preserve">) </w:t>
      </w:r>
      <w:r w:rsidR="00786862">
        <w:rPr>
          <w:sz w:val="24"/>
          <w:szCs w:val="24"/>
        </w:rPr>
        <w:t xml:space="preserve">insist that our verse refers only to the Seven Species. </w:t>
      </w:r>
      <w:r>
        <w:rPr>
          <w:sz w:val="24"/>
          <w:szCs w:val="24"/>
        </w:rPr>
        <w:t>Rashi</w:t>
      </w:r>
      <w:r w:rsidR="00ED03D8">
        <w:rPr>
          <w:sz w:val="24"/>
          <w:szCs w:val="24"/>
        </w:rPr>
        <w:t xml:space="preserve"> (10:36</w:t>
      </w:r>
      <w:r>
        <w:rPr>
          <w:sz w:val="24"/>
          <w:szCs w:val="24"/>
        </w:rPr>
        <w:t>,</w:t>
      </w:r>
      <w:r w:rsidR="00ED03D8">
        <w:rPr>
          <w:sz w:val="24"/>
          <w:szCs w:val="24"/>
        </w:rPr>
        <w:t xml:space="preserve"> s.v. </w:t>
      </w:r>
      <w:r w:rsidR="00ED03D8" w:rsidRPr="00A04917">
        <w:rPr>
          <w:i/>
          <w:sz w:val="24"/>
          <w:szCs w:val="24"/>
        </w:rPr>
        <w:t>u-vikurei</w:t>
      </w:r>
      <w:r w:rsidR="00ED03D8">
        <w:rPr>
          <w:sz w:val="24"/>
          <w:szCs w:val="24"/>
        </w:rPr>
        <w:t xml:space="preserve">), however, maintains that there is a requirement to offer </w:t>
      </w:r>
      <w:r w:rsidR="00ED03D8" w:rsidRPr="00A04917">
        <w:rPr>
          <w:i/>
          <w:sz w:val="24"/>
          <w:szCs w:val="24"/>
        </w:rPr>
        <w:t xml:space="preserve">bikkurim </w:t>
      </w:r>
      <w:r w:rsidR="00ED03D8">
        <w:rPr>
          <w:sz w:val="24"/>
          <w:szCs w:val="24"/>
        </w:rPr>
        <w:t xml:space="preserve">from all fruit that grows in Israel. Metzudat David (s.v. </w:t>
      </w:r>
      <w:r w:rsidR="00ED03D8" w:rsidRPr="00A04917">
        <w:rPr>
          <w:i/>
          <w:sz w:val="24"/>
          <w:szCs w:val="24"/>
        </w:rPr>
        <w:t>kol</w:t>
      </w:r>
      <w:r w:rsidR="00A04917">
        <w:rPr>
          <w:sz w:val="24"/>
          <w:szCs w:val="24"/>
        </w:rPr>
        <w:t>) says the</w:t>
      </w:r>
      <w:r w:rsidR="00ED03D8">
        <w:rPr>
          <w:sz w:val="24"/>
          <w:szCs w:val="24"/>
        </w:rPr>
        <w:t xml:space="preserve"> same, adding that the requirement for other fruit is merely </w:t>
      </w:r>
      <w:r>
        <w:rPr>
          <w:sz w:val="24"/>
          <w:szCs w:val="24"/>
        </w:rPr>
        <w:t>R</w:t>
      </w:r>
      <w:r w:rsidR="00ED03D8">
        <w:rPr>
          <w:sz w:val="24"/>
          <w:szCs w:val="24"/>
        </w:rPr>
        <w:t>abbinic</w:t>
      </w:r>
      <w:r w:rsidR="00EC1645">
        <w:rPr>
          <w:sz w:val="24"/>
          <w:szCs w:val="24"/>
        </w:rPr>
        <w:t xml:space="preserve">, indicating that the Jews were in fact extending the </w:t>
      </w:r>
      <w:r>
        <w:rPr>
          <w:sz w:val="24"/>
          <w:szCs w:val="24"/>
        </w:rPr>
        <w:t>B</w:t>
      </w:r>
      <w:r w:rsidR="00EC1645">
        <w:rPr>
          <w:sz w:val="24"/>
          <w:szCs w:val="24"/>
        </w:rPr>
        <w:t>iblical requirement with their oath.</w:t>
      </w:r>
      <w:r w:rsidR="006C7278">
        <w:rPr>
          <w:rStyle w:val="FootnoteReference"/>
          <w:sz w:val="24"/>
          <w:szCs w:val="24"/>
        </w:rPr>
        <w:footnoteReference w:id="1"/>
      </w:r>
      <w:r w:rsidR="006C7278">
        <w:rPr>
          <w:sz w:val="24"/>
          <w:szCs w:val="24"/>
        </w:rPr>
        <w:t xml:space="preserve"> </w:t>
      </w:r>
    </w:p>
    <w:p w14:paraId="1CF3BFAC" w14:textId="77777777" w:rsidR="003C6F89" w:rsidRDefault="003C6F89" w:rsidP="008819EE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</w:p>
    <w:p w14:paraId="4E0CE68D" w14:textId="38B0BFCC" w:rsidR="003C6F89" w:rsidRDefault="00E8595A" w:rsidP="008819EE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F89">
        <w:rPr>
          <w:sz w:val="24"/>
          <w:szCs w:val="24"/>
        </w:rPr>
        <w:t xml:space="preserve">In sum, </w:t>
      </w:r>
      <w:r w:rsidR="00EA1BCF">
        <w:rPr>
          <w:sz w:val="24"/>
          <w:szCs w:val="24"/>
        </w:rPr>
        <w:t>the co</w:t>
      </w:r>
      <w:r w:rsidR="009362C8">
        <w:rPr>
          <w:sz w:val="24"/>
          <w:szCs w:val="24"/>
        </w:rPr>
        <w:t>mmen</w:t>
      </w:r>
      <w:r w:rsidR="003C6F89">
        <w:rPr>
          <w:sz w:val="24"/>
          <w:szCs w:val="24"/>
        </w:rPr>
        <w:t>tators struggle with a fundamental question: to what extent was the oath a renewed commitment to the ancient</w:t>
      </w:r>
      <w:r w:rsidR="00DF4B6B">
        <w:rPr>
          <w:sz w:val="24"/>
          <w:szCs w:val="24"/>
        </w:rPr>
        <w:t xml:space="preserve"> laws of the Torah,</w:t>
      </w:r>
      <w:r w:rsidR="003C6F89">
        <w:rPr>
          <w:sz w:val="24"/>
          <w:szCs w:val="24"/>
        </w:rPr>
        <w:t xml:space="preserve"> albeit with some novel interpretations, and to what extent are these new, proto-</w:t>
      </w:r>
      <w:r w:rsidR="006150B6">
        <w:rPr>
          <w:sz w:val="24"/>
          <w:szCs w:val="24"/>
        </w:rPr>
        <w:t>R</w:t>
      </w:r>
      <w:r w:rsidR="003C6F89">
        <w:rPr>
          <w:sz w:val="24"/>
          <w:szCs w:val="24"/>
        </w:rPr>
        <w:t>abbinic laws?</w:t>
      </w:r>
      <w:r w:rsidR="00AB0B23">
        <w:rPr>
          <w:sz w:val="24"/>
          <w:szCs w:val="24"/>
        </w:rPr>
        <w:t xml:space="preserve"> </w:t>
      </w:r>
      <w:r w:rsidR="007479CA">
        <w:rPr>
          <w:sz w:val="24"/>
          <w:szCs w:val="24"/>
        </w:rPr>
        <w:t>As we have seen, it is most likely that our chapter presents a mix of the two views.</w:t>
      </w:r>
      <w:r w:rsidR="001D40F9">
        <w:rPr>
          <w:sz w:val="24"/>
          <w:szCs w:val="24"/>
        </w:rPr>
        <w:t xml:space="preserve"> On any view</w:t>
      </w:r>
      <w:r w:rsidR="003C6F89">
        <w:rPr>
          <w:sz w:val="24"/>
          <w:szCs w:val="24"/>
        </w:rPr>
        <w:t>, our chapter – and, indeed, the entire period of</w:t>
      </w:r>
      <w:r w:rsidR="003E2C4B">
        <w:rPr>
          <w:sz w:val="24"/>
          <w:szCs w:val="24"/>
        </w:rPr>
        <w:t xml:space="preserve"> </w:t>
      </w:r>
      <w:r w:rsidR="003E2C4B" w:rsidRPr="00D13D7C">
        <w:rPr>
          <w:i/>
          <w:sz w:val="24"/>
          <w:szCs w:val="24"/>
        </w:rPr>
        <w:t>Shivat Tzion</w:t>
      </w:r>
      <w:r w:rsidR="002119C1">
        <w:rPr>
          <w:sz w:val="24"/>
          <w:szCs w:val="24"/>
        </w:rPr>
        <w:t xml:space="preserve"> –</w:t>
      </w:r>
      <w:r w:rsidR="003C6F89">
        <w:rPr>
          <w:sz w:val="24"/>
          <w:szCs w:val="24"/>
        </w:rPr>
        <w:t xml:space="preserve"> </w:t>
      </w:r>
      <w:r w:rsidR="003E2C4B">
        <w:rPr>
          <w:sz w:val="24"/>
          <w:szCs w:val="24"/>
        </w:rPr>
        <w:t xml:space="preserve">exemplifies </w:t>
      </w:r>
      <w:r w:rsidR="00BE5BE4">
        <w:rPr>
          <w:sz w:val="24"/>
          <w:szCs w:val="24"/>
        </w:rPr>
        <w:t>a careful balance</w:t>
      </w:r>
      <w:r w:rsidR="003C6F89">
        <w:rPr>
          <w:sz w:val="24"/>
          <w:szCs w:val="24"/>
        </w:rPr>
        <w:t xml:space="preserve"> between commitment to tradition and an understanding that specific commandments require additional emphasis or even innovation at particular moments in history</w:t>
      </w:r>
      <w:r w:rsidR="001F429D">
        <w:rPr>
          <w:sz w:val="24"/>
          <w:szCs w:val="24"/>
        </w:rPr>
        <w:t xml:space="preserve"> (either</w:t>
      </w:r>
      <w:r w:rsidR="00C350D5">
        <w:rPr>
          <w:sz w:val="24"/>
          <w:szCs w:val="24"/>
        </w:rPr>
        <w:t xml:space="preserve"> by way of</w:t>
      </w:r>
      <w:r w:rsidR="001F429D">
        <w:rPr>
          <w:sz w:val="24"/>
          <w:szCs w:val="24"/>
        </w:rPr>
        <w:t xml:space="preserve"> exegesis or legislation)</w:t>
      </w:r>
      <w:r w:rsidR="003C6F89">
        <w:rPr>
          <w:sz w:val="24"/>
          <w:szCs w:val="24"/>
        </w:rPr>
        <w:t xml:space="preserve">. </w:t>
      </w:r>
      <w:r w:rsidR="00620B54">
        <w:rPr>
          <w:sz w:val="24"/>
          <w:szCs w:val="24"/>
        </w:rPr>
        <w:t>In this</w:t>
      </w:r>
      <w:r w:rsidR="00BE4A24">
        <w:rPr>
          <w:sz w:val="24"/>
          <w:szCs w:val="24"/>
        </w:rPr>
        <w:t xml:space="preserve"> respect</w:t>
      </w:r>
      <w:r w:rsidR="00620B54">
        <w:rPr>
          <w:sz w:val="24"/>
          <w:szCs w:val="24"/>
        </w:rPr>
        <w:t xml:space="preserve">, chapter </w:t>
      </w:r>
      <w:r w:rsidR="006150B6">
        <w:rPr>
          <w:sz w:val="24"/>
          <w:szCs w:val="24"/>
        </w:rPr>
        <w:t>10</w:t>
      </w:r>
      <w:r w:rsidR="00620B54">
        <w:rPr>
          <w:sz w:val="24"/>
          <w:szCs w:val="24"/>
        </w:rPr>
        <w:t xml:space="preserve"> of </w:t>
      </w:r>
      <w:r w:rsidR="00620B54" w:rsidRPr="00BE4A24">
        <w:rPr>
          <w:i/>
          <w:sz w:val="24"/>
          <w:szCs w:val="24"/>
        </w:rPr>
        <w:t xml:space="preserve">Nechemia </w:t>
      </w:r>
      <w:r w:rsidR="00620B54">
        <w:rPr>
          <w:sz w:val="24"/>
          <w:szCs w:val="24"/>
        </w:rPr>
        <w:t xml:space="preserve">anticipates the central </w:t>
      </w:r>
      <w:r w:rsidR="00620B54">
        <w:rPr>
          <w:sz w:val="24"/>
          <w:szCs w:val="24"/>
        </w:rPr>
        <w:lastRenderedPageBreak/>
        <w:t>ten</w:t>
      </w:r>
      <w:r w:rsidR="00BE4A24">
        <w:rPr>
          <w:sz w:val="24"/>
          <w:szCs w:val="24"/>
        </w:rPr>
        <w:t>sions and co</w:t>
      </w:r>
      <w:r w:rsidR="00620B54">
        <w:rPr>
          <w:sz w:val="24"/>
          <w:szCs w:val="24"/>
        </w:rPr>
        <w:t xml:space="preserve">ntributions of the </w:t>
      </w:r>
      <w:r w:rsidR="006150B6">
        <w:rPr>
          <w:sz w:val="24"/>
          <w:szCs w:val="24"/>
        </w:rPr>
        <w:t>R</w:t>
      </w:r>
      <w:r w:rsidR="00620B54">
        <w:rPr>
          <w:sz w:val="24"/>
          <w:szCs w:val="24"/>
        </w:rPr>
        <w:t>abbinic</w:t>
      </w:r>
      <w:r w:rsidR="00E00F5B">
        <w:rPr>
          <w:sz w:val="24"/>
          <w:szCs w:val="24"/>
        </w:rPr>
        <w:t xml:space="preserve"> period, which</w:t>
      </w:r>
      <w:r w:rsidR="00F07529">
        <w:rPr>
          <w:sz w:val="24"/>
          <w:szCs w:val="24"/>
        </w:rPr>
        <w:t xml:space="preserve"> took root </w:t>
      </w:r>
      <w:r w:rsidR="00620B54">
        <w:rPr>
          <w:sz w:val="24"/>
          <w:szCs w:val="24"/>
        </w:rPr>
        <w:t xml:space="preserve">in the period of </w:t>
      </w:r>
      <w:r w:rsidR="00620B54" w:rsidRPr="00F07529">
        <w:rPr>
          <w:i/>
          <w:sz w:val="24"/>
          <w:szCs w:val="24"/>
        </w:rPr>
        <w:t>Shivat Tzion</w:t>
      </w:r>
      <w:r w:rsidR="00620B54">
        <w:rPr>
          <w:sz w:val="24"/>
          <w:szCs w:val="24"/>
        </w:rPr>
        <w:t xml:space="preserve">. </w:t>
      </w:r>
      <w:r w:rsidR="003C6F89">
        <w:rPr>
          <w:sz w:val="24"/>
          <w:szCs w:val="24"/>
        </w:rPr>
        <w:t xml:space="preserve"> </w:t>
      </w:r>
    </w:p>
    <w:p w14:paraId="4B170A65" w14:textId="77777777" w:rsidR="00AB0A20" w:rsidRPr="00845059" w:rsidRDefault="00AB0A20" w:rsidP="008819EE">
      <w:pPr>
        <w:pStyle w:val="Normal1"/>
        <w:tabs>
          <w:tab w:val="left" w:pos="720"/>
        </w:tabs>
        <w:spacing w:line="240" w:lineRule="auto"/>
        <w:contextualSpacing/>
        <w:jc w:val="both"/>
        <w:rPr>
          <w:sz w:val="24"/>
          <w:szCs w:val="24"/>
        </w:rPr>
      </w:pPr>
    </w:p>
    <w:sectPr w:rsidR="00AB0A20" w:rsidRPr="00845059" w:rsidSect="008819EE">
      <w:footnotePr>
        <w:pos w:val="beneathText"/>
      </w:footnotePr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0E82" w14:textId="77777777" w:rsidR="00C350D5" w:rsidRDefault="00C350D5" w:rsidP="00ED03D8">
      <w:pPr>
        <w:spacing w:line="240" w:lineRule="auto"/>
      </w:pPr>
      <w:r>
        <w:separator/>
      </w:r>
    </w:p>
  </w:endnote>
  <w:endnote w:type="continuationSeparator" w:id="0">
    <w:p w14:paraId="601E726A" w14:textId="77777777" w:rsidR="00C350D5" w:rsidRDefault="00C350D5" w:rsidP="00ED0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9D66" w14:textId="77777777" w:rsidR="00C350D5" w:rsidRDefault="00C350D5" w:rsidP="00ED03D8">
      <w:pPr>
        <w:spacing w:line="240" w:lineRule="auto"/>
      </w:pPr>
      <w:r>
        <w:separator/>
      </w:r>
    </w:p>
  </w:footnote>
  <w:footnote w:type="continuationSeparator" w:id="0">
    <w:p w14:paraId="5414A2CC" w14:textId="77777777" w:rsidR="00C350D5" w:rsidRDefault="00C350D5" w:rsidP="00ED03D8">
      <w:pPr>
        <w:spacing w:line="240" w:lineRule="auto"/>
      </w:pPr>
      <w:r>
        <w:continuationSeparator/>
      </w:r>
    </w:p>
  </w:footnote>
  <w:footnote w:id="1">
    <w:p w14:paraId="6A44C66B" w14:textId="2A7B87E7" w:rsidR="006C7278" w:rsidRPr="00404FD3" w:rsidRDefault="006C7278" w:rsidP="006C0FFC">
      <w:pPr>
        <w:pStyle w:val="FootnoteText"/>
        <w:jc w:val="both"/>
      </w:pPr>
      <w:r w:rsidRPr="00404FD3">
        <w:rPr>
          <w:rStyle w:val="FootnoteReference"/>
        </w:rPr>
        <w:footnoteRef/>
      </w:r>
      <w:r w:rsidRPr="00404FD3">
        <w:t xml:space="preserve"> In contrast to the ruling of the Yerushalmi, it should be noted that </w:t>
      </w:r>
      <w:proofErr w:type="spellStart"/>
      <w:r w:rsidRPr="00404FD3">
        <w:rPr>
          <w:i/>
        </w:rPr>
        <w:t>Chid</w:t>
      </w:r>
      <w:r w:rsidR="006150B6">
        <w:rPr>
          <w:i/>
        </w:rPr>
        <w:t>d</w:t>
      </w:r>
      <w:r w:rsidRPr="00404FD3">
        <w:rPr>
          <w:i/>
        </w:rPr>
        <w:t>ushei</w:t>
      </w:r>
      <w:proofErr w:type="spellEnd"/>
      <w:r w:rsidRPr="00404FD3">
        <w:rPr>
          <w:i/>
        </w:rPr>
        <w:t xml:space="preserve"> Ha-Ran </w:t>
      </w:r>
      <w:r w:rsidRPr="00404FD3">
        <w:t>(</w:t>
      </w:r>
      <w:proofErr w:type="spellStart"/>
      <w:r w:rsidRPr="00404FD3">
        <w:rPr>
          <w:i/>
        </w:rPr>
        <w:t>Chul</w:t>
      </w:r>
      <w:r w:rsidR="006150B6">
        <w:rPr>
          <w:i/>
        </w:rPr>
        <w:t>l</w:t>
      </w:r>
      <w:r w:rsidRPr="00404FD3">
        <w:rPr>
          <w:i/>
        </w:rPr>
        <w:t>in</w:t>
      </w:r>
      <w:proofErr w:type="spellEnd"/>
      <w:r w:rsidRPr="00404FD3">
        <w:rPr>
          <w:i/>
        </w:rPr>
        <w:t xml:space="preserve"> </w:t>
      </w:r>
      <w:r w:rsidRPr="00404FD3">
        <w:t>120</w:t>
      </w:r>
      <w:r w:rsidR="006C0FFC">
        <w:t>b</w:t>
      </w:r>
      <w:r w:rsidR="006150B6">
        <w:t>,</w:t>
      </w:r>
      <w:r w:rsidRPr="00404FD3">
        <w:t xml:space="preserve"> </w:t>
      </w:r>
      <w:proofErr w:type="spellStart"/>
      <w:r w:rsidRPr="00404FD3">
        <w:t>s.v</w:t>
      </w:r>
      <w:proofErr w:type="spellEnd"/>
      <w:r w:rsidRPr="00404FD3">
        <w:t xml:space="preserve">. </w:t>
      </w:r>
      <w:r>
        <w:rPr>
          <w:i/>
        </w:rPr>
        <w:t>u-mina</w:t>
      </w:r>
      <w:r w:rsidRPr="00404FD3">
        <w:t xml:space="preserve">) maintains that according to the Bavli, one may choose to offer </w:t>
      </w:r>
      <w:r w:rsidRPr="00404FD3">
        <w:rPr>
          <w:i/>
        </w:rPr>
        <w:t xml:space="preserve">bikkurim </w:t>
      </w:r>
      <w:r w:rsidRPr="00404FD3">
        <w:t>from any fruit if one so chooses.</w:t>
      </w:r>
      <w:r>
        <w:t xml:space="preserve"> Such fruit, although offered voluntarily, earns the status of </w:t>
      </w:r>
      <w:r w:rsidR="006150B6">
        <w:t>B</w:t>
      </w:r>
      <w:r>
        <w:t>iblical first</w:t>
      </w:r>
      <w:r w:rsidR="006150B6">
        <w:t>-</w:t>
      </w:r>
      <w:r>
        <w:t xml:space="preserve">fruits.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77C"/>
    <w:multiLevelType w:val="multilevel"/>
    <w:tmpl w:val="B81C86A2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1E24"/>
    <w:rsid w:val="000019A1"/>
    <w:rsid w:val="00004C7C"/>
    <w:rsid w:val="000301C4"/>
    <w:rsid w:val="0003426F"/>
    <w:rsid w:val="00042B4C"/>
    <w:rsid w:val="00046A4D"/>
    <w:rsid w:val="00084E7D"/>
    <w:rsid w:val="000871A2"/>
    <w:rsid w:val="0009046B"/>
    <w:rsid w:val="000B12B1"/>
    <w:rsid w:val="000C2613"/>
    <w:rsid w:val="000D3514"/>
    <w:rsid w:val="000E157D"/>
    <w:rsid w:val="000E6C45"/>
    <w:rsid w:val="0016567D"/>
    <w:rsid w:val="00167776"/>
    <w:rsid w:val="00177925"/>
    <w:rsid w:val="001A3DA6"/>
    <w:rsid w:val="001A54C8"/>
    <w:rsid w:val="001D1CB2"/>
    <w:rsid w:val="001D3D46"/>
    <w:rsid w:val="001D40F9"/>
    <w:rsid w:val="001E179F"/>
    <w:rsid w:val="001F429D"/>
    <w:rsid w:val="00201059"/>
    <w:rsid w:val="0021192B"/>
    <w:rsid w:val="002119C1"/>
    <w:rsid w:val="00227D9F"/>
    <w:rsid w:val="002375E2"/>
    <w:rsid w:val="00240ED9"/>
    <w:rsid w:val="00243674"/>
    <w:rsid w:val="002445E1"/>
    <w:rsid w:val="002512F9"/>
    <w:rsid w:val="00263957"/>
    <w:rsid w:val="0027047A"/>
    <w:rsid w:val="002946DD"/>
    <w:rsid w:val="002A75AF"/>
    <w:rsid w:val="002B2628"/>
    <w:rsid w:val="002C1963"/>
    <w:rsid w:val="002C5E24"/>
    <w:rsid w:val="002D00DF"/>
    <w:rsid w:val="002E3E42"/>
    <w:rsid w:val="002F4B17"/>
    <w:rsid w:val="0031464F"/>
    <w:rsid w:val="00322E97"/>
    <w:rsid w:val="00357F11"/>
    <w:rsid w:val="0037565C"/>
    <w:rsid w:val="0037768C"/>
    <w:rsid w:val="003C6F89"/>
    <w:rsid w:val="003E2C4B"/>
    <w:rsid w:val="003F04E2"/>
    <w:rsid w:val="00403C02"/>
    <w:rsid w:val="00404FD3"/>
    <w:rsid w:val="00431215"/>
    <w:rsid w:val="00433432"/>
    <w:rsid w:val="00437D23"/>
    <w:rsid w:val="00441E78"/>
    <w:rsid w:val="004437B3"/>
    <w:rsid w:val="00445098"/>
    <w:rsid w:val="00445CAC"/>
    <w:rsid w:val="00456BEA"/>
    <w:rsid w:val="00457C38"/>
    <w:rsid w:val="00474DA5"/>
    <w:rsid w:val="00477A95"/>
    <w:rsid w:val="00484261"/>
    <w:rsid w:val="00484D69"/>
    <w:rsid w:val="00487823"/>
    <w:rsid w:val="004908EE"/>
    <w:rsid w:val="004B3698"/>
    <w:rsid w:val="004C0F0F"/>
    <w:rsid w:val="004D00C2"/>
    <w:rsid w:val="004D3386"/>
    <w:rsid w:val="004D55C2"/>
    <w:rsid w:val="004E290B"/>
    <w:rsid w:val="0050485C"/>
    <w:rsid w:val="005406A5"/>
    <w:rsid w:val="005536A5"/>
    <w:rsid w:val="005537CC"/>
    <w:rsid w:val="005577D9"/>
    <w:rsid w:val="00557FA5"/>
    <w:rsid w:val="005800F3"/>
    <w:rsid w:val="00594548"/>
    <w:rsid w:val="00594578"/>
    <w:rsid w:val="005A6390"/>
    <w:rsid w:val="005C7663"/>
    <w:rsid w:val="005D0823"/>
    <w:rsid w:val="006150B6"/>
    <w:rsid w:val="00620B54"/>
    <w:rsid w:val="006210DC"/>
    <w:rsid w:val="00640A3D"/>
    <w:rsid w:val="0065125F"/>
    <w:rsid w:val="006530B0"/>
    <w:rsid w:val="006749F3"/>
    <w:rsid w:val="0068285C"/>
    <w:rsid w:val="00684FA2"/>
    <w:rsid w:val="006941E2"/>
    <w:rsid w:val="00694947"/>
    <w:rsid w:val="00694DC9"/>
    <w:rsid w:val="006A0347"/>
    <w:rsid w:val="006A168C"/>
    <w:rsid w:val="006A5322"/>
    <w:rsid w:val="006C0FFC"/>
    <w:rsid w:val="006C7278"/>
    <w:rsid w:val="006D2D1B"/>
    <w:rsid w:val="007048F0"/>
    <w:rsid w:val="007079E4"/>
    <w:rsid w:val="007239D2"/>
    <w:rsid w:val="00732EAF"/>
    <w:rsid w:val="00740254"/>
    <w:rsid w:val="007479CA"/>
    <w:rsid w:val="007603CD"/>
    <w:rsid w:val="00760F47"/>
    <w:rsid w:val="0078007F"/>
    <w:rsid w:val="00786862"/>
    <w:rsid w:val="007B064A"/>
    <w:rsid w:val="007C0A6E"/>
    <w:rsid w:val="007D0450"/>
    <w:rsid w:val="007F747B"/>
    <w:rsid w:val="008122D6"/>
    <w:rsid w:val="0081608A"/>
    <w:rsid w:val="00816EC0"/>
    <w:rsid w:val="00845059"/>
    <w:rsid w:val="008518BE"/>
    <w:rsid w:val="0086135B"/>
    <w:rsid w:val="008651EE"/>
    <w:rsid w:val="008819EE"/>
    <w:rsid w:val="00886733"/>
    <w:rsid w:val="008C5B29"/>
    <w:rsid w:val="008E657E"/>
    <w:rsid w:val="00906F8F"/>
    <w:rsid w:val="009179EC"/>
    <w:rsid w:val="0092197E"/>
    <w:rsid w:val="00922620"/>
    <w:rsid w:val="0092745B"/>
    <w:rsid w:val="00934D27"/>
    <w:rsid w:val="009362C8"/>
    <w:rsid w:val="009540BA"/>
    <w:rsid w:val="00954969"/>
    <w:rsid w:val="00964124"/>
    <w:rsid w:val="009B0566"/>
    <w:rsid w:val="009B608C"/>
    <w:rsid w:val="009B71DF"/>
    <w:rsid w:val="009C51CC"/>
    <w:rsid w:val="009C5688"/>
    <w:rsid w:val="00A04917"/>
    <w:rsid w:val="00A15EDD"/>
    <w:rsid w:val="00A23C2B"/>
    <w:rsid w:val="00A44BD8"/>
    <w:rsid w:val="00A479C6"/>
    <w:rsid w:val="00A6558A"/>
    <w:rsid w:val="00A679B7"/>
    <w:rsid w:val="00A92F39"/>
    <w:rsid w:val="00A92F47"/>
    <w:rsid w:val="00AB0A20"/>
    <w:rsid w:val="00AB0B23"/>
    <w:rsid w:val="00AC0950"/>
    <w:rsid w:val="00AC36D7"/>
    <w:rsid w:val="00AE6863"/>
    <w:rsid w:val="00B3015A"/>
    <w:rsid w:val="00B3444C"/>
    <w:rsid w:val="00B602BE"/>
    <w:rsid w:val="00B91F3C"/>
    <w:rsid w:val="00B94503"/>
    <w:rsid w:val="00BA0027"/>
    <w:rsid w:val="00BB627F"/>
    <w:rsid w:val="00BB6CC7"/>
    <w:rsid w:val="00BC11EE"/>
    <w:rsid w:val="00BC5673"/>
    <w:rsid w:val="00BE4A24"/>
    <w:rsid w:val="00BE5BE4"/>
    <w:rsid w:val="00BF5030"/>
    <w:rsid w:val="00C06B50"/>
    <w:rsid w:val="00C126E9"/>
    <w:rsid w:val="00C15769"/>
    <w:rsid w:val="00C2404D"/>
    <w:rsid w:val="00C2644B"/>
    <w:rsid w:val="00C350D5"/>
    <w:rsid w:val="00C405C7"/>
    <w:rsid w:val="00C732BA"/>
    <w:rsid w:val="00C834FC"/>
    <w:rsid w:val="00C970F2"/>
    <w:rsid w:val="00CC0E9E"/>
    <w:rsid w:val="00CC3B28"/>
    <w:rsid w:val="00CE4125"/>
    <w:rsid w:val="00CF3100"/>
    <w:rsid w:val="00CF5694"/>
    <w:rsid w:val="00D1265C"/>
    <w:rsid w:val="00D12F31"/>
    <w:rsid w:val="00D13D7C"/>
    <w:rsid w:val="00D20964"/>
    <w:rsid w:val="00D3356C"/>
    <w:rsid w:val="00D4722C"/>
    <w:rsid w:val="00D56387"/>
    <w:rsid w:val="00D6139F"/>
    <w:rsid w:val="00D6476D"/>
    <w:rsid w:val="00D95EF2"/>
    <w:rsid w:val="00DA6A72"/>
    <w:rsid w:val="00DC5CC1"/>
    <w:rsid w:val="00DD1FB6"/>
    <w:rsid w:val="00DD2548"/>
    <w:rsid w:val="00DE11E5"/>
    <w:rsid w:val="00DE3ED0"/>
    <w:rsid w:val="00DF4B6B"/>
    <w:rsid w:val="00DF7836"/>
    <w:rsid w:val="00E00F5B"/>
    <w:rsid w:val="00E13D06"/>
    <w:rsid w:val="00E21908"/>
    <w:rsid w:val="00E22EFB"/>
    <w:rsid w:val="00E23ACD"/>
    <w:rsid w:val="00E37BAC"/>
    <w:rsid w:val="00E4167F"/>
    <w:rsid w:val="00E43213"/>
    <w:rsid w:val="00E5512B"/>
    <w:rsid w:val="00E6124F"/>
    <w:rsid w:val="00E6150A"/>
    <w:rsid w:val="00E746B9"/>
    <w:rsid w:val="00E8595A"/>
    <w:rsid w:val="00EA1BCF"/>
    <w:rsid w:val="00EA3F8A"/>
    <w:rsid w:val="00EB2425"/>
    <w:rsid w:val="00EC1645"/>
    <w:rsid w:val="00ED03D8"/>
    <w:rsid w:val="00EF0AB7"/>
    <w:rsid w:val="00F02928"/>
    <w:rsid w:val="00F0403F"/>
    <w:rsid w:val="00F07529"/>
    <w:rsid w:val="00F244C1"/>
    <w:rsid w:val="00F24823"/>
    <w:rsid w:val="00F41E24"/>
    <w:rsid w:val="00F426BA"/>
    <w:rsid w:val="00F81B56"/>
    <w:rsid w:val="00FC197C"/>
    <w:rsid w:val="00FD5489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69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dnoteText">
    <w:name w:val="endnote text"/>
    <w:basedOn w:val="Normal"/>
    <w:link w:val="EndnoteTextChar"/>
    <w:uiPriority w:val="99"/>
    <w:unhideWhenUsed/>
    <w:rsid w:val="00ED03D8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D03D8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ED03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27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dnoteText">
    <w:name w:val="endnote text"/>
    <w:basedOn w:val="Normal"/>
    <w:link w:val="EndnoteTextChar"/>
    <w:uiPriority w:val="99"/>
    <w:unhideWhenUsed/>
    <w:rsid w:val="00ED03D8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D03D8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ED03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27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A638-4E02-43CA-AC14-59BC7BD4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אנדי ריפקין</dc:creator>
  <cp:lastModifiedBy>tmpUser</cp:lastModifiedBy>
  <cp:revision>5</cp:revision>
  <dcterms:created xsi:type="dcterms:W3CDTF">2017-04-25T06:26:00Z</dcterms:created>
  <dcterms:modified xsi:type="dcterms:W3CDTF">2017-08-22T07:46:00Z</dcterms:modified>
</cp:coreProperties>
</file>