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DA" w:rsidRPr="00553234" w:rsidRDefault="009132DA" w:rsidP="005F2F9C">
      <w:pPr>
        <w:pStyle w:val="CC"/>
        <w:keepLines w:val="0"/>
        <w:tabs>
          <w:tab w:val="left" w:pos="720"/>
        </w:tabs>
        <w:spacing w:after="0"/>
        <w:ind w:left="0" w:firstLine="0"/>
        <w:jc w:val="center"/>
        <w:rPr>
          <w:rFonts w:asciiTheme="minorBidi" w:hAnsiTheme="minorBidi" w:cstheme="minorBidi"/>
          <w:sz w:val="24"/>
          <w:szCs w:val="24"/>
        </w:rPr>
      </w:pPr>
      <w:r w:rsidRPr="00553234">
        <w:rPr>
          <w:rFonts w:asciiTheme="minorBidi" w:hAnsiTheme="minorBidi" w:cstheme="minorBidi"/>
          <w:sz w:val="24"/>
          <w:szCs w:val="24"/>
        </w:rPr>
        <w:t>YESHIVAT HAR ETZION</w:t>
      </w:r>
    </w:p>
    <w:p w:rsidR="009132DA" w:rsidRPr="00553234" w:rsidRDefault="009132DA" w:rsidP="005F2F9C">
      <w:pPr>
        <w:pStyle w:val="CC"/>
        <w:keepLines w:val="0"/>
        <w:tabs>
          <w:tab w:val="left" w:pos="720"/>
        </w:tabs>
        <w:spacing w:after="0"/>
        <w:ind w:left="0" w:firstLine="0"/>
        <w:jc w:val="center"/>
        <w:rPr>
          <w:rFonts w:asciiTheme="minorBidi" w:hAnsiTheme="minorBidi" w:cstheme="minorBidi"/>
          <w:sz w:val="24"/>
          <w:szCs w:val="24"/>
          <w:lang w:val="en-GB"/>
        </w:rPr>
      </w:pPr>
      <w:r w:rsidRPr="00553234">
        <w:rPr>
          <w:rFonts w:asciiTheme="minorBidi" w:hAnsiTheme="minorBidi" w:cstheme="minorBidi"/>
          <w:sz w:val="24"/>
          <w:szCs w:val="24"/>
          <w:lang w:val="en-GB"/>
        </w:rPr>
        <w:t>ISRAEL KOSCHITZKY VIRTUAL BEIT MIDRASH (VBM)</w:t>
      </w:r>
    </w:p>
    <w:p w:rsidR="009132DA" w:rsidRPr="00553234" w:rsidRDefault="009132DA" w:rsidP="005F2F9C">
      <w:pPr>
        <w:pStyle w:val="CC"/>
        <w:keepLines w:val="0"/>
        <w:tabs>
          <w:tab w:val="left" w:pos="720"/>
        </w:tabs>
        <w:spacing w:after="0"/>
        <w:ind w:left="0" w:firstLine="0"/>
        <w:jc w:val="center"/>
        <w:rPr>
          <w:rFonts w:asciiTheme="minorBidi" w:hAnsiTheme="minorBidi" w:cstheme="minorBidi"/>
          <w:sz w:val="24"/>
          <w:szCs w:val="24"/>
          <w:lang w:val="en-GB"/>
        </w:rPr>
      </w:pPr>
      <w:r w:rsidRPr="00553234">
        <w:rPr>
          <w:rFonts w:asciiTheme="minorBidi" w:hAnsiTheme="minorBidi" w:cstheme="minorBidi"/>
          <w:sz w:val="24"/>
          <w:szCs w:val="24"/>
          <w:lang w:val="en-GB"/>
        </w:rPr>
        <w:t>*********************************************************</w:t>
      </w:r>
    </w:p>
    <w:p w:rsidR="009132DA" w:rsidRPr="00553234" w:rsidRDefault="009132DA" w:rsidP="005F2F9C">
      <w:pPr>
        <w:pStyle w:val="CC"/>
        <w:keepLines w:val="0"/>
        <w:tabs>
          <w:tab w:val="left" w:pos="720"/>
        </w:tabs>
        <w:spacing w:after="0"/>
        <w:ind w:left="0" w:firstLine="0"/>
        <w:jc w:val="center"/>
        <w:rPr>
          <w:rFonts w:asciiTheme="minorBidi" w:hAnsiTheme="minorBidi" w:cstheme="minorBidi"/>
          <w:sz w:val="24"/>
          <w:szCs w:val="24"/>
        </w:rPr>
      </w:pPr>
    </w:p>
    <w:p w:rsidR="009132DA" w:rsidRPr="00553234" w:rsidRDefault="009132DA" w:rsidP="005F2F9C">
      <w:pPr>
        <w:spacing w:after="0" w:line="240" w:lineRule="auto"/>
        <w:jc w:val="center"/>
        <w:rPr>
          <w:rFonts w:asciiTheme="minorBidi" w:hAnsiTheme="minorBidi"/>
          <w:b/>
          <w:bCs/>
          <w:sz w:val="24"/>
          <w:szCs w:val="24"/>
        </w:rPr>
      </w:pPr>
      <w:r w:rsidRPr="00553234">
        <w:rPr>
          <w:rFonts w:asciiTheme="minorBidi" w:hAnsiTheme="minorBidi"/>
          <w:b/>
          <w:bCs/>
          <w:sz w:val="24"/>
          <w:szCs w:val="24"/>
        </w:rPr>
        <w:t>Before Sinai:  Jewish Values and Jewish Law</w:t>
      </w:r>
    </w:p>
    <w:p w:rsidR="009132DA" w:rsidRPr="00553234" w:rsidRDefault="009132DA" w:rsidP="005F2F9C">
      <w:pPr>
        <w:spacing w:after="0" w:line="240" w:lineRule="auto"/>
        <w:jc w:val="center"/>
        <w:rPr>
          <w:rFonts w:asciiTheme="minorBidi" w:hAnsiTheme="minorBidi"/>
          <w:b/>
          <w:bCs/>
          <w:sz w:val="24"/>
          <w:szCs w:val="24"/>
        </w:rPr>
      </w:pPr>
      <w:r w:rsidRPr="00553234">
        <w:rPr>
          <w:rFonts w:asciiTheme="minorBidi" w:hAnsiTheme="minorBidi"/>
          <w:b/>
          <w:bCs/>
          <w:sz w:val="24"/>
          <w:szCs w:val="24"/>
        </w:rPr>
        <w:t>By Rav Dr. Judah Goldberg</w:t>
      </w:r>
    </w:p>
    <w:p w:rsidR="009132DA" w:rsidRPr="00553234" w:rsidRDefault="009132DA" w:rsidP="005F2F9C">
      <w:pPr>
        <w:pStyle w:val="CC"/>
        <w:keepLines w:val="0"/>
        <w:tabs>
          <w:tab w:val="left" w:pos="2552"/>
        </w:tabs>
        <w:spacing w:after="0"/>
        <w:ind w:left="0" w:firstLine="0"/>
        <w:jc w:val="center"/>
        <w:rPr>
          <w:rFonts w:asciiTheme="minorBidi" w:hAnsiTheme="minorBidi" w:cstheme="minorBidi"/>
          <w:b w:val="0"/>
          <w:bCs/>
          <w:sz w:val="24"/>
          <w:szCs w:val="24"/>
        </w:rPr>
      </w:pPr>
    </w:p>
    <w:p w:rsidR="009132DA" w:rsidRPr="00553234" w:rsidRDefault="009132DA" w:rsidP="005F2F9C">
      <w:pPr>
        <w:pStyle w:val="CC"/>
        <w:keepLines w:val="0"/>
        <w:tabs>
          <w:tab w:val="left" w:pos="2552"/>
        </w:tabs>
        <w:spacing w:after="0"/>
        <w:ind w:left="0" w:firstLine="0"/>
        <w:jc w:val="center"/>
        <w:rPr>
          <w:rFonts w:asciiTheme="minorBidi" w:hAnsiTheme="minorBidi" w:cstheme="minorBidi"/>
          <w:b w:val="0"/>
          <w:sz w:val="24"/>
          <w:szCs w:val="24"/>
          <w:lang w:val="en-GB"/>
        </w:rPr>
      </w:pPr>
      <w:r w:rsidRPr="00553234">
        <w:rPr>
          <w:rFonts w:asciiTheme="minorBidi" w:hAnsiTheme="minorBidi" w:cstheme="minorBidi"/>
          <w:b w:val="0"/>
          <w:bCs/>
          <w:sz w:val="24"/>
          <w:szCs w:val="24"/>
          <w:lang w:val="en-GB"/>
        </w:rPr>
        <w:t>For easy printing, see</w:t>
      </w:r>
    </w:p>
    <w:p w:rsidR="009132DA" w:rsidRPr="00553234" w:rsidRDefault="005F2F9C" w:rsidP="005F2F9C">
      <w:pPr>
        <w:pStyle w:val="CC"/>
        <w:keepLines w:val="0"/>
        <w:tabs>
          <w:tab w:val="left" w:pos="2552"/>
        </w:tabs>
        <w:spacing w:after="0"/>
        <w:ind w:left="0" w:firstLine="0"/>
        <w:jc w:val="center"/>
        <w:rPr>
          <w:rFonts w:asciiTheme="minorBidi" w:hAnsiTheme="minorBidi" w:cstheme="minorBidi"/>
          <w:b w:val="0"/>
          <w:sz w:val="24"/>
          <w:szCs w:val="24"/>
          <w:lang w:val="en-GB"/>
        </w:rPr>
      </w:pPr>
      <w:hyperlink r:id="rId9" w:history="1">
        <w:r w:rsidR="009132DA" w:rsidRPr="00762362">
          <w:rPr>
            <w:rStyle w:val="Hyperlink"/>
            <w:rFonts w:asciiTheme="minorBidi" w:hAnsiTheme="minorBidi" w:cstheme="minorBidi"/>
            <w:b w:val="0"/>
            <w:sz w:val="24"/>
            <w:szCs w:val="24"/>
            <w:lang w:val="en-GB"/>
          </w:rPr>
          <w:t>http://vbm-torah.org/archive/sinai/16sinai.htm</w:t>
        </w:r>
      </w:hyperlink>
    </w:p>
    <w:p w:rsidR="009132DA" w:rsidRDefault="009132DA" w:rsidP="005F2F9C">
      <w:pPr>
        <w:spacing w:after="0" w:line="240" w:lineRule="auto"/>
        <w:jc w:val="center"/>
        <w:rPr>
          <w:rFonts w:asciiTheme="minorBidi" w:hAnsiTheme="minorBidi"/>
          <w:b/>
          <w:bCs/>
          <w:sz w:val="24"/>
          <w:szCs w:val="24"/>
          <w:lang w:val="en-GB"/>
        </w:rPr>
      </w:pPr>
    </w:p>
    <w:p w:rsidR="009132DA" w:rsidRDefault="009132DA" w:rsidP="005F2F9C">
      <w:pPr>
        <w:spacing w:after="0" w:line="240" w:lineRule="auto"/>
        <w:jc w:val="center"/>
        <w:rPr>
          <w:rFonts w:asciiTheme="minorBidi" w:hAnsiTheme="minorBidi"/>
          <w:b/>
          <w:bCs/>
          <w:sz w:val="24"/>
          <w:szCs w:val="24"/>
          <w:lang w:val="en-GB"/>
        </w:rPr>
      </w:pPr>
    </w:p>
    <w:p w:rsidR="003F0354" w:rsidRPr="009132DA" w:rsidRDefault="003F0354" w:rsidP="005F2F9C">
      <w:pPr>
        <w:spacing w:after="0" w:line="240" w:lineRule="auto"/>
        <w:jc w:val="center"/>
        <w:rPr>
          <w:rFonts w:asciiTheme="minorBidi" w:hAnsiTheme="minorBidi" w:cstheme="minorBidi"/>
          <w:b/>
          <w:bCs/>
          <w:sz w:val="24"/>
          <w:szCs w:val="24"/>
        </w:rPr>
      </w:pPr>
      <w:r w:rsidRPr="009132DA">
        <w:rPr>
          <w:rFonts w:asciiTheme="minorBidi" w:hAnsiTheme="minorBidi" w:cstheme="minorBidi"/>
          <w:b/>
          <w:bCs/>
          <w:sz w:val="24"/>
          <w:szCs w:val="24"/>
        </w:rPr>
        <w:t>Shiur #16</w:t>
      </w:r>
      <w:r w:rsidR="009132DA">
        <w:rPr>
          <w:rFonts w:asciiTheme="minorBidi" w:hAnsiTheme="minorBidi" w:cstheme="minorBidi"/>
          <w:b/>
          <w:bCs/>
          <w:sz w:val="24"/>
          <w:szCs w:val="24"/>
        </w:rPr>
        <w:t>:</w:t>
      </w:r>
      <w:r w:rsidRPr="009132DA">
        <w:rPr>
          <w:rFonts w:asciiTheme="minorBidi" w:hAnsiTheme="minorBidi" w:cstheme="minorBidi"/>
          <w:b/>
          <w:bCs/>
          <w:sz w:val="24"/>
          <w:szCs w:val="24"/>
        </w:rPr>
        <w:t xml:space="preserve"> Jewish Peoplehood (9):  Zionism and Non-Orthodox Jews in the Thought of R. Joseph B. Soloveitchik</w:t>
      </w:r>
    </w:p>
    <w:p w:rsidR="003F0354" w:rsidRDefault="003F0354" w:rsidP="005F2F9C">
      <w:pPr>
        <w:spacing w:after="0" w:line="240" w:lineRule="auto"/>
        <w:jc w:val="center"/>
        <w:rPr>
          <w:rFonts w:asciiTheme="minorBidi" w:hAnsiTheme="minorBidi" w:cstheme="minorBidi"/>
          <w:b/>
          <w:bCs/>
          <w:sz w:val="24"/>
          <w:szCs w:val="24"/>
        </w:rPr>
      </w:pPr>
    </w:p>
    <w:p w:rsidR="009132DA" w:rsidRPr="009132DA" w:rsidRDefault="009132DA" w:rsidP="005F2F9C">
      <w:pPr>
        <w:spacing w:after="0" w:line="240" w:lineRule="auto"/>
        <w:jc w:val="center"/>
        <w:rPr>
          <w:rFonts w:asciiTheme="minorBidi" w:hAnsiTheme="minorBidi" w:cstheme="minorBidi"/>
          <w:b/>
          <w:bCs/>
          <w:sz w:val="24"/>
          <w:szCs w:val="24"/>
        </w:rPr>
      </w:pPr>
    </w:p>
    <w:p w:rsidR="003F0354" w:rsidRPr="009132DA" w:rsidRDefault="003F0354" w:rsidP="005F2F9C">
      <w:pPr>
        <w:spacing w:after="0" w:line="240" w:lineRule="auto"/>
        <w:jc w:val="both"/>
        <w:rPr>
          <w:rFonts w:asciiTheme="minorBidi" w:hAnsiTheme="minorBidi" w:cstheme="minorBidi"/>
          <w:sz w:val="24"/>
          <w:szCs w:val="24"/>
        </w:rPr>
      </w:pPr>
      <w:r w:rsidRPr="009132DA">
        <w:rPr>
          <w:rFonts w:asciiTheme="minorBidi" w:hAnsiTheme="minorBidi" w:cstheme="minorBidi"/>
          <w:b/>
          <w:bCs/>
          <w:sz w:val="24"/>
          <w:szCs w:val="24"/>
        </w:rPr>
        <w:tab/>
      </w:r>
      <w:r w:rsidRPr="009132DA">
        <w:rPr>
          <w:rFonts w:asciiTheme="minorBidi" w:hAnsiTheme="minorBidi" w:cstheme="minorBidi"/>
          <w:sz w:val="24"/>
          <w:szCs w:val="24"/>
        </w:rPr>
        <w:t xml:space="preserve">After spending several </w:t>
      </w:r>
      <w:proofErr w:type="spellStart"/>
      <w:r w:rsidR="009132DA">
        <w:rPr>
          <w:rFonts w:asciiTheme="minorBidi" w:hAnsiTheme="minorBidi" w:cstheme="minorBidi"/>
          <w:i/>
          <w:iCs/>
          <w:sz w:val="24"/>
          <w:szCs w:val="24"/>
        </w:rPr>
        <w:t>shi</w:t>
      </w:r>
      <w:r w:rsidRPr="009132DA">
        <w:rPr>
          <w:rFonts w:asciiTheme="minorBidi" w:hAnsiTheme="minorBidi" w:cstheme="minorBidi"/>
          <w:i/>
          <w:iCs/>
          <w:sz w:val="24"/>
          <w:szCs w:val="24"/>
        </w:rPr>
        <w:t>urim</w:t>
      </w:r>
      <w:proofErr w:type="spellEnd"/>
      <w:r w:rsidRPr="009132DA">
        <w:rPr>
          <w:rFonts w:asciiTheme="minorBidi" w:hAnsiTheme="minorBidi" w:cstheme="minorBidi"/>
          <w:sz w:val="24"/>
          <w:szCs w:val="24"/>
        </w:rPr>
        <w:t xml:space="preserve"> describing a value of Jewish peoplehood as it is manifest</w:t>
      </w:r>
      <w:r w:rsidR="006C7EA6">
        <w:rPr>
          <w:rFonts w:asciiTheme="minorBidi" w:hAnsiTheme="minorBidi" w:cstheme="minorBidi"/>
          <w:sz w:val="24"/>
          <w:szCs w:val="24"/>
        </w:rPr>
        <w:t>ed</w:t>
      </w:r>
      <w:r w:rsidRPr="009132DA">
        <w:rPr>
          <w:rFonts w:asciiTheme="minorBidi" w:hAnsiTheme="minorBidi" w:cstheme="minorBidi"/>
          <w:sz w:val="24"/>
          <w:szCs w:val="24"/>
        </w:rPr>
        <w:t xml:space="preserve"> in various areas of Jewish law, we turn our attention to exploring what it demands of us in our daily personal and communal lives.  Jewish peoplehood, among the other values of </w:t>
      </w:r>
      <w:r w:rsidRPr="009132DA">
        <w:rPr>
          <w:rFonts w:asciiTheme="minorBidi" w:hAnsiTheme="minorBidi" w:cstheme="minorBidi"/>
          <w:i/>
          <w:iCs/>
          <w:sz w:val="24"/>
          <w:szCs w:val="24"/>
        </w:rPr>
        <w:t>berit Avot</w:t>
      </w:r>
      <w:r w:rsidRPr="009132DA">
        <w:rPr>
          <w:rFonts w:asciiTheme="minorBidi" w:hAnsiTheme="minorBidi" w:cstheme="minorBidi"/>
          <w:sz w:val="24"/>
          <w:szCs w:val="24"/>
        </w:rPr>
        <w:t>, is not merely a concept but also a responsibility.  The culmination of our investigations, then, is to simultaneously expand the range of commitments that must direct a Jew’s thought and conduct, while also grounding intuitively felt values in a coherent system that gives them force and context.</w:t>
      </w:r>
    </w:p>
    <w:p w:rsidR="009132DA" w:rsidRDefault="009132DA" w:rsidP="005F2F9C">
      <w:pPr>
        <w:spacing w:after="0" w:line="240" w:lineRule="auto"/>
        <w:jc w:val="both"/>
        <w:rPr>
          <w:rFonts w:asciiTheme="minorBidi" w:hAnsiTheme="minorBidi" w:cstheme="minorBidi"/>
          <w:sz w:val="24"/>
          <w:szCs w:val="24"/>
        </w:rPr>
      </w:pPr>
    </w:p>
    <w:p w:rsidR="003F0354" w:rsidRPr="009132DA" w:rsidRDefault="003F0354" w:rsidP="005F2F9C">
      <w:pPr>
        <w:spacing w:after="0" w:line="240" w:lineRule="auto"/>
        <w:jc w:val="both"/>
        <w:rPr>
          <w:rFonts w:asciiTheme="minorBidi" w:hAnsiTheme="minorBidi" w:cstheme="minorBidi"/>
          <w:sz w:val="24"/>
          <w:szCs w:val="24"/>
        </w:rPr>
      </w:pPr>
      <w:r w:rsidRPr="009132DA">
        <w:rPr>
          <w:rFonts w:asciiTheme="minorBidi" w:hAnsiTheme="minorBidi" w:cstheme="minorBidi"/>
          <w:sz w:val="24"/>
          <w:szCs w:val="24"/>
        </w:rPr>
        <w:tab/>
        <w:t>We previously explored some of the impl</w:t>
      </w:r>
      <w:bookmarkStart w:id="0" w:name="_GoBack"/>
      <w:bookmarkEnd w:id="0"/>
      <w:r w:rsidRPr="009132DA">
        <w:rPr>
          <w:rFonts w:asciiTheme="minorBidi" w:hAnsiTheme="minorBidi" w:cstheme="minorBidi"/>
          <w:sz w:val="24"/>
          <w:szCs w:val="24"/>
        </w:rPr>
        <w:t>ications of a commitment to Jewish peoplehood—the gravity of intermarriage</w:t>
      </w:r>
      <w:r w:rsidR="006C7EA6">
        <w:rPr>
          <w:rFonts w:asciiTheme="minorBidi" w:hAnsiTheme="minorBidi" w:cstheme="minorBidi"/>
          <w:sz w:val="24"/>
          <w:szCs w:val="24"/>
        </w:rPr>
        <w:t xml:space="preserve"> and</w:t>
      </w:r>
      <w:r w:rsidRPr="009132DA">
        <w:rPr>
          <w:rFonts w:asciiTheme="minorBidi" w:hAnsiTheme="minorBidi" w:cstheme="minorBidi"/>
          <w:sz w:val="24"/>
          <w:szCs w:val="24"/>
        </w:rPr>
        <w:t xml:space="preserve"> the penalty for seceding from communal life—in </w:t>
      </w:r>
      <w:hyperlink r:id="rId10" w:history="1">
        <w:r w:rsidRPr="009132DA">
          <w:rPr>
            <w:rStyle w:val="Hyperlink"/>
            <w:rFonts w:asciiTheme="minorBidi" w:hAnsiTheme="minorBidi" w:cstheme="minorBidi"/>
            <w:i/>
            <w:iCs/>
            <w:sz w:val="24"/>
            <w:szCs w:val="24"/>
          </w:rPr>
          <w:t>shiur</w:t>
        </w:r>
        <w:r w:rsidRPr="009132DA">
          <w:rPr>
            <w:rStyle w:val="Hyperlink"/>
            <w:rFonts w:asciiTheme="minorBidi" w:hAnsiTheme="minorBidi" w:cstheme="minorBidi"/>
            <w:sz w:val="24"/>
            <w:szCs w:val="24"/>
          </w:rPr>
          <w:t xml:space="preserve"> #6</w:t>
        </w:r>
      </w:hyperlink>
      <w:r w:rsidRPr="009132DA">
        <w:rPr>
          <w:rFonts w:asciiTheme="minorBidi" w:hAnsiTheme="minorBidi" w:cstheme="minorBidi"/>
          <w:sz w:val="24"/>
          <w:szCs w:val="24"/>
        </w:rPr>
        <w:t xml:space="preserve">.  In this </w:t>
      </w:r>
      <w:r w:rsidRPr="009132DA">
        <w:rPr>
          <w:rFonts w:asciiTheme="minorBidi" w:hAnsiTheme="minorBidi" w:cstheme="minorBidi"/>
          <w:i/>
          <w:iCs/>
          <w:sz w:val="24"/>
          <w:szCs w:val="24"/>
        </w:rPr>
        <w:t>shiur</w:t>
      </w:r>
      <w:r w:rsidRPr="009132DA">
        <w:rPr>
          <w:rFonts w:asciiTheme="minorBidi" w:hAnsiTheme="minorBidi" w:cstheme="minorBidi"/>
          <w:sz w:val="24"/>
          <w:szCs w:val="24"/>
        </w:rPr>
        <w:t>, we will examine R. Soloveitchik’s own applications of his dual</w:t>
      </w:r>
      <w:r w:rsidR="006C7EA6">
        <w:rPr>
          <w:rFonts w:asciiTheme="minorBidi" w:hAnsiTheme="minorBidi" w:cstheme="minorBidi"/>
          <w:sz w:val="24"/>
          <w:szCs w:val="24"/>
        </w:rPr>
        <w:t xml:space="preserve"> </w:t>
      </w:r>
      <w:r w:rsidRPr="009132DA">
        <w:rPr>
          <w:rFonts w:asciiTheme="minorBidi" w:hAnsiTheme="minorBidi" w:cstheme="minorBidi"/>
          <w:sz w:val="24"/>
          <w:szCs w:val="24"/>
        </w:rPr>
        <w:t>covenant framework in his seminal address-turned-essay on Zionism, “</w:t>
      </w:r>
      <w:r w:rsidRPr="009132DA">
        <w:rPr>
          <w:rFonts w:asciiTheme="minorBidi" w:hAnsiTheme="minorBidi" w:cstheme="minorBidi"/>
          <w:i/>
          <w:iCs/>
          <w:sz w:val="24"/>
          <w:szCs w:val="24"/>
        </w:rPr>
        <w:t>Kol Dodi Dofek</w:t>
      </w:r>
      <w:r w:rsidRPr="009132DA">
        <w:rPr>
          <w:rFonts w:asciiTheme="minorBidi" w:hAnsiTheme="minorBidi" w:cstheme="minorBidi"/>
          <w:sz w:val="24"/>
          <w:szCs w:val="24"/>
        </w:rPr>
        <w:t xml:space="preserve">.” </w:t>
      </w:r>
    </w:p>
    <w:p w:rsidR="003F0354" w:rsidRPr="009132DA" w:rsidRDefault="003F0354" w:rsidP="005F2F9C">
      <w:pPr>
        <w:spacing w:after="0" w:line="240" w:lineRule="auto"/>
        <w:jc w:val="both"/>
        <w:rPr>
          <w:rFonts w:asciiTheme="minorBidi" w:hAnsiTheme="minorBidi" w:cstheme="minorBidi"/>
          <w:sz w:val="24"/>
          <w:szCs w:val="24"/>
        </w:rPr>
      </w:pPr>
    </w:p>
    <w:p w:rsidR="003F0354" w:rsidRPr="009132DA" w:rsidRDefault="009F78EC" w:rsidP="005F2F9C">
      <w:pPr>
        <w:spacing w:after="0" w:line="240" w:lineRule="auto"/>
        <w:jc w:val="both"/>
        <w:rPr>
          <w:rFonts w:asciiTheme="minorBidi" w:hAnsiTheme="minorBidi" w:cstheme="minorBidi"/>
          <w:b/>
          <w:bCs/>
          <w:sz w:val="24"/>
          <w:szCs w:val="24"/>
        </w:rPr>
      </w:pPr>
      <w:r w:rsidRPr="009132DA">
        <w:rPr>
          <w:rFonts w:asciiTheme="minorBidi" w:hAnsiTheme="minorBidi" w:cstheme="minorBidi"/>
          <w:b/>
          <w:bCs/>
          <w:sz w:val="24"/>
          <w:szCs w:val="24"/>
        </w:rPr>
        <w:t>The Covenant of Fate</w:t>
      </w:r>
    </w:p>
    <w:p w:rsidR="009132DA" w:rsidRDefault="009132DA" w:rsidP="005F2F9C">
      <w:pPr>
        <w:spacing w:after="0" w:line="240" w:lineRule="auto"/>
        <w:jc w:val="both"/>
        <w:rPr>
          <w:rFonts w:asciiTheme="minorBidi" w:hAnsiTheme="minorBidi" w:cstheme="minorBidi"/>
          <w:sz w:val="24"/>
          <w:szCs w:val="24"/>
        </w:rPr>
      </w:pPr>
    </w:p>
    <w:p w:rsidR="003F0354" w:rsidRPr="009132DA" w:rsidRDefault="003F0354" w:rsidP="005F2F9C">
      <w:pPr>
        <w:spacing w:after="0" w:line="240" w:lineRule="auto"/>
        <w:jc w:val="both"/>
        <w:rPr>
          <w:rFonts w:asciiTheme="minorBidi" w:hAnsiTheme="minorBidi" w:cstheme="minorBidi"/>
          <w:sz w:val="24"/>
          <w:szCs w:val="24"/>
        </w:rPr>
      </w:pPr>
      <w:r w:rsidRPr="009132DA">
        <w:rPr>
          <w:rFonts w:asciiTheme="minorBidi" w:hAnsiTheme="minorBidi" w:cstheme="minorBidi"/>
          <w:sz w:val="24"/>
          <w:szCs w:val="24"/>
        </w:rPr>
        <w:tab/>
        <w:t>R. Soloveitchik, as we have repeatedly noted, proposes that the Jewish people are bound by two different historical covenants.  He dubs the earlier one the “covenant of Egypt” and describes it as a “covenant of fate,” in contrast to the “covenant of Sinai,” which is a “covenant of destiny.”  In describing a “covenant of fate,” R. Soloveitchik explains that common suffering and alienation, typified by the Egyptian enslavement, lead Jews to a shared, isolated experience:  “The individual is subject and subjugated against his will to the national fate/existence, and it is impossible for him to avoid it and be absorbed into a different reality” (</w:t>
      </w:r>
      <w:r w:rsidRPr="009132DA">
        <w:rPr>
          <w:rFonts w:asciiTheme="minorBidi" w:hAnsiTheme="minorBidi" w:cstheme="minorBidi"/>
          <w:i/>
          <w:iCs/>
          <w:sz w:val="24"/>
          <w:szCs w:val="24"/>
        </w:rPr>
        <w:t>Kol Dodi Dofek: Listen—My Beloved Knocks</w:t>
      </w:r>
      <w:r w:rsidRPr="009132DA">
        <w:rPr>
          <w:rFonts w:asciiTheme="minorBidi" w:hAnsiTheme="minorBidi" w:cstheme="minorBidi"/>
          <w:sz w:val="24"/>
          <w:szCs w:val="24"/>
        </w:rPr>
        <w:t xml:space="preserve">, 52).  </w:t>
      </w:r>
    </w:p>
    <w:p w:rsidR="009132DA" w:rsidRDefault="009132DA" w:rsidP="005F2F9C">
      <w:pPr>
        <w:spacing w:after="0" w:line="240" w:lineRule="auto"/>
        <w:ind w:firstLine="720"/>
        <w:jc w:val="both"/>
        <w:rPr>
          <w:rFonts w:asciiTheme="minorBidi" w:hAnsiTheme="minorBidi" w:cstheme="minorBidi"/>
          <w:sz w:val="24"/>
          <w:szCs w:val="24"/>
        </w:rPr>
      </w:pPr>
    </w:p>
    <w:p w:rsidR="003F0354" w:rsidRDefault="003F0354" w:rsidP="005F2F9C">
      <w:pPr>
        <w:spacing w:after="0" w:line="240" w:lineRule="auto"/>
        <w:ind w:firstLine="720"/>
        <w:jc w:val="both"/>
        <w:rPr>
          <w:rFonts w:asciiTheme="minorBidi" w:hAnsiTheme="minorBidi" w:cstheme="minorBidi"/>
          <w:sz w:val="24"/>
          <w:szCs w:val="24"/>
        </w:rPr>
      </w:pPr>
      <w:r w:rsidRPr="009132DA">
        <w:rPr>
          <w:rFonts w:asciiTheme="minorBidi" w:hAnsiTheme="minorBidi" w:cstheme="minorBidi"/>
          <w:sz w:val="24"/>
          <w:szCs w:val="24"/>
        </w:rPr>
        <w:t>At the same time, a community that forms around a shared sense of fate will develop positive expressions of kinship as well—regardless of relation to the tenets of Sinai.  R. Soloveitchik enumerates four</w:t>
      </w:r>
      <w:r w:rsidR="006C7EA6">
        <w:rPr>
          <w:rFonts w:asciiTheme="minorBidi" w:hAnsiTheme="minorBidi" w:cstheme="minorBidi"/>
          <w:sz w:val="24"/>
          <w:szCs w:val="24"/>
        </w:rPr>
        <w:t xml:space="preserve"> such expressions</w:t>
      </w:r>
      <w:r w:rsidRPr="009132DA">
        <w:rPr>
          <w:rFonts w:asciiTheme="minorBidi" w:hAnsiTheme="minorBidi" w:cstheme="minorBidi"/>
          <w:sz w:val="24"/>
          <w:szCs w:val="24"/>
        </w:rPr>
        <w:t>, which not only reflect the covenant of fate but also embody its duties:</w:t>
      </w:r>
    </w:p>
    <w:p w:rsidR="009132DA" w:rsidRPr="009132DA" w:rsidRDefault="009132DA" w:rsidP="005F2F9C">
      <w:pPr>
        <w:spacing w:after="0" w:line="240" w:lineRule="auto"/>
        <w:ind w:firstLine="720"/>
        <w:jc w:val="both"/>
        <w:rPr>
          <w:rFonts w:asciiTheme="minorBidi" w:hAnsiTheme="minorBidi" w:cstheme="minorBidi"/>
          <w:sz w:val="24"/>
          <w:szCs w:val="24"/>
        </w:rPr>
      </w:pPr>
    </w:p>
    <w:p w:rsidR="003F0354" w:rsidRPr="009132DA" w:rsidRDefault="003F0354" w:rsidP="005F2F9C">
      <w:pPr>
        <w:pStyle w:val="ListParagraph"/>
        <w:numPr>
          <w:ilvl w:val="0"/>
          <w:numId w:val="1"/>
        </w:numPr>
        <w:spacing w:after="0" w:line="240" w:lineRule="auto"/>
        <w:jc w:val="both"/>
        <w:rPr>
          <w:rFonts w:asciiTheme="minorBidi" w:hAnsiTheme="minorBidi" w:cstheme="minorBidi"/>
          <w:iCs/>
          <w:sz w:val="24"/>
          <w:szCs w:val="24"/>
        </w:rPr>
      </w:pPr>
      <w:r w:rsidRPr="009132DA">
        <w:rPr>
          <w:rFonts w:asciiTheme="minorBidi" w:hAnsiTheme="minorBidi" w:cstheme="minorBidi"/>
          <w:sz w:val="24"/>
          <w:szCs w:val="24"/>
        </w:rPr>
        <w:t xml:space="preserve">A sense of shared experience:  “We are all in the realm of a shared fate that binds together the different </w:t>
      </w:r>
      <w:r w:rsidRPr="009132DA">
        <w:rPr>
          <w:rFonts w:asciiTheme="minorBidi" w:hAnsiTheme="minorBidi" w:cstheme="minorBidi"/>
          <w:i/>
          <w:sz w:val="24"/>
          <w:szCs w:val="24"/>
        </w:rPr>
        <w:t>strata</w:t>
      </w:r>
      <w:r w:rsidRPr="009132DA">
        <w:rPr>
          <w:rFonts w:asciiTheme="minorBidi" w:hAnsiTheme="minorBidi" w:cstheme="minorBidi"/>
          <w:iCs/>
          <w:sz w:val="24"/>
          <w:szCs w:val="24"/>
        </w:rPr>
        <w:t xml:space="preserve"> of the nation and does not discriminate between classes and individuals….</w:t>
      </w:r>
      <w:r w:rsidR="00A84D0F">
        <w:rPr>
          <w:rFonts w:asciiTheme="minorBidi" w:hAnsiTheme="minorBidi" w:cstheme="minorBidi" w:hint="cs"/>
          <w:iCs/>
          <w:sz w:val="24"/>
          <w:szCs w:val="24"/>
          <w:rtl/>
        </w:rPr>
        <w:t xml:space="preserve">  </w:t>
      </w:r>
      <w:r w:rsidRPr="009132DA">
        <w:rPr>
          <w:rFonts w:asciiTheme="minorBidi" w:hAnsiTheme="minorBidi" w:cstheme="minorBidi"/>
          <w:iCs/>
          <w:sz w:val="24"/>
          <w:szCs w:val="24"/>
        </w:rPr>
        <w:t>We are all persecuted, or we are all saved together” (55-56).</w:t>
      </w:r>
    </w:p>
    <w:p w:rsidR="003F0354" w:rsidRPr="009132DA" w:rsidRDefault="003F0354" w:rsidP="005F2F9C">
      <w:pPr>
        <w:pStyle w:val="ListParagraph"/>
        <w:numPr>
          <w:ilvl w:val="0"/>
          <w:numId w:val="1"/>
        </w:numPr>
        <w:spacing w:after="0" w:line="240" w:lineRule="auto"/>
        <w:jc w:val="both"/>
        <w:rPr>
          <w:rFonts w:asciiTheme="minorBidi" w:hAnsiTheme="minorBidi" w:cstheme="minorBidi"/>
          <w:iCs/>
          <w:sz w:val="24"/>
          <w:szCs w:val="24"/>
        </w:rPr>
      </w:pPr>
      <w:r w:rsidRPr="009132DA">
        <w:rPr>
          <w:rFonts w:asciiTheme="minorBidi" w:hAnsiTheme="minorBidi" w:cstheme="minorBidi"/>
          <w:iCs/>
          <w:sz w:val="24"/>
          <w:szCs w:val="24"/>
        </w:rPr>
        <w:t>A sense of shared suffering:  “The suffering of one segment of the nation is the lot of the entire community….  If the Jew… still feels the distress of the nation and the burden of its fate/existence, then his bond to the nation has not been severed” (56-58).</w:t>
      </w:r>
    </w:p>
    <w:p w:rsidR="003F0354" w:rsidRPr="009132DA" w:rsidRDefault="003F0354" w:rsidP="005F2F9C">
      <w:pPr>
        <w:pStyle w:val="ListParagraph"/>
        <w:numPr>
          <w:ilvl w:val="0"/>
          <w:numId w:val="1"/>
        </w:numPr>
        <w:spacing w:after="0" w:line="240" w:lineRule="auto"/>
        <w:jc w:val="both"/>
        <w:rPr>
          <w:rFonts w:asciiTheme="minorBidi" w:hAnsiTheme="minorBidi" w:cstheme="minorBidi"/>
          <w:iCs/>
          <w:sz w:val="24"/>
          <w:szCs w:val="24"/>
        </w:rPr>
      </w:pPr>
      <w:r w:rsidRPr="009132DA">
        <w:rPr>
          <w:rFonts w:asciiTheme="minorBidi" w:hAnsiTheme="minorBidi" w:cstheme="minorBidi"/>
          <w:iCs/>
          <w:sz w:val="24"/>
          <w:szCs w:val="24"/>
        </w:rPr>
        <w:t>Shared responsibility:  The Jewish people bear collective responsibility for one another and towards one another.  We are held accountable for the wrongdoing of our brethren, both in the eyes of Heaven and the eyes of the world:  “Sharing of responsibility is not simp</w:t>
      </w:r>
      <w:r w:rsidR="009132DA">
        <w:rPr>
          <w:rFonts w:asciiTheme="minorBidi" w:hAnsiTheme="minorBidi" w:cstheme="minorBidi"/>
          <w:iCs/>
          <w:sz w:val="24"/>
          <w:szCs w:val="24"/>
        </w:rPr>
        <w:t>l</w:t>
      </w:r>
      <w:r w:rsidRPr="009132DA">
        <w:rPr>
          <w:rFonts w:asciiTheme="minorBidi" w:hAnsiTheme="minorBidi" w:cstheme="minorBidi"/>
          <w:iCs/>
          <w:sz w:val="24"/>
          <w:szCs w:val="24"/>
        </w:rPr>
        <w:t>y a halakhic-speculative notion, but a central fact in the history of Israel’s relations with other nations….  The identification of the activities of the individual with the deeds of the nation is a fundamental truth of the history of our people” (59-60).</w:t>
      </w:r>
    </w:p>
    <w:p w:rsidR="003F0354" w:rsidRDefault="003F0354" w:rsidP="005F2F9C">
      <w:pPr>
        <w:pStyle w:val="ListParagraph"/>
        <w:numPr>
          <w:ilvl w:val="0"/>
          <w:numId w:val="1"/>
        </w:numPr>
        <w:spacing w:after="0" w:line="240" w:lineRule="auto"/>
        <w:jc w:val="both"/>
        <w:rPr>
          <w:rFonts w:asciiTheme="minorBidi" w:hAnsiTheme="minorBidi" w:cstheme="minorBidi"/>
          <w:iCs/>
          <w:sz w:val="24"/>
          <w:szCs w:val="24"/>
        </w:rPr>
      </w:pPr>
      <w:r w:rsidRPr="009132DA">
        <w:rPr>
          <w:rFonts w:asciiTheme="minorBidi" w:hAnsiTheme="minorBidi" w:cstheme="minorBidi"/>
          <w:iCs/>
          <w:sz w:val="24"/>
          <w:szCs w:val="24"/>
        </w:rPr>
        <w:t>Communal cooperation:  A nation that finds itself alone, whether by choice or by compulsion, will necessarily turn inward for support:  “The obligation of love for another person emanates from the self-awareness of the people of fate, which is alone and perplexed by its uniqueness” (63).</w:t>
      </w:r>
    </w:p>
    <w:p w:rsidR="009132DA" w:rsidRPr="009132DA" w:rsidRDefault="009132DA" w:rsidP="005F2F9C">
      <w:pPr>
        <w:pStyle w:val="ListParagraph"/>
        <w:spacing w:after="0" w:line="240" w:lineRule="auto"/>
        <w:jc w:val="both"/>
        <w:rPr>
          <w:rFonts w:asciiTheme="minorBidi" w:hAnsiTheme="minorBidi" w:cstheme="minorBidi"/>
          <w:iCs/>
          <w:sz w:val="24"/>
          <w:szCs w:val="24"/>
        </w:rPr>
      </w:pPr>
    </w:p>
    <w:p w:rsidR="003F0354" w:rsidRDefault="003F0354" w:rsidP="005F2F9C">
      <w:pPr>
        <w:spacing w:after="0" w:line="240" w:lineRule="auto"/>
        <w:jc w:val="both"/>
        <w:rPr>
          <w:rFonts w:asciiTheme="minorBidi" w:hAnsiTheme="minorBidi" w:cstheme="minorBidi"/>
          <w:iCs/>
          <w:sz w:val="24"/>
          <w:szCs w:val="24"/>
        </w:rPr>
      </w:pPr>
      <w:r w:rsidRPr="009132DA">
        <w:rPr>
          <w:rFonts w:asciiTheme="minorBidi" w:hAnsiTheme="minorBidi" w:cstheme="minorBidi"/>
          <w:iCs/>
          <w:sz w:val="24"/>
          <w:szCs w:val="24"/>
        </w:rPr>
        <w:t>Out of these principles emerges R. Soloveitchik’s general policy about cooperation between the Orthodox and non-Orthodox communities.  In a newspaper article from 1954, two years before R. Soloveitchik delivered “</w:t>
      </w:r>
      <w:r w:rsidRPr="009132DA">
        <w:rPr>
          <w:rFonts w:asciiTheme="minorBidi" w:hAnsiTheme="minorBidi" w:cstheme="minorBidi"/>
          <w:i/>
          <w:sz w:val="24"/>
          <w:szCs w:val="24"/>
        </w:rPr>
        <w:t>Kol Dodi Dofek</w:t>
      </w:r>
      <w:r w:rsidRPr="009132DA">
        <w:rPr>
          <w:rFonts w:asciiTheme="minorBidi" w:hAnsiTheme="minorBidi" w:cstheme="minorBidi"/>
          <w:iCs/>
          <w:sz w:val="24"/>
          <w:szCs w:val="24"/>
        </w:rPr>
        <w:t>,” he outlines the twin covenants of Egypt and Sinai and spells out the consequences:</w:t>
      </w:r>
    </w:p>
    <w:p w:rsidR="009132DA" w:rsidRPr="009132DA" w:rsidRDefault="009132DA" w:rsidP="005F2F9C">
      <w:pPr>
        <w:spacing w:after="0" w:line="240" w:lineRule="auto"/>
        <w:jc w:val="both"/>
        <w:rPr>
          <w:rFonts w:asciiTheme="minorBidi" w:hAnsiTheme="minorBidi" w:cstheme="minorBidi"/>
          <w:iCs/>
          <w:sz w:val="24"/>
          <w:szCs w:val="24"/>
        </w:rPr>
      </w:pPr>
    </w:p>
    <w:p w:rsidR="003F0354" w:rsidRDefault="003F0354" w:rsidP="005F2F9C">
      <w:pPr>
        <w:spacing w:after="0" w:line="240" w:lineRule="auto"/>
        <w:ind w:left="720"/>
        <w:jc w:val="both"/>
        <w:rPr>
          <w:rFonts w:asciiTheme="minorBidi" w:hAnsiTheme="minorBidi" w:cstheme="minorBidi"/>
          <w:iCs/>
          <w:sz w:val="24"/>
          <w:szCs w:val="24"/>
        </w:rPr>
      </w:pPr>
      <w:r w:rsidRPr="009132DA">
        <w:rPr>
          <w:rFonts w:asciiTheme="minorBidi" w:hAnsiTheme="minorBidi" w:cstheme="minorBidi"/>
          <w:iCs/>
          <w:sz w:val="24"/>
          <w:szCs w:val="24"/>
        </w:rPr>
        <w:t xml:space="preserve">When we are faced with a problem for Jews and Jewish interests toward the world without, regarding the defense of Jewish rights in the non-Jewish world, then all groups and movements must be united….  In the crematoria, the ashes of the </w:t>
      </w:r>
      <w:proofErr w:type="spellStart"/>
      <w:r w:rsidR="009132DA" w:rsidRPr="009132DA">
        <w:rPr>
          <w:rFonts w:asciiTheme="minorBidi" w:hAnsiTheme="minorBidi" w:cstheme="minorBidi"/>
          <w:i/>
          <w:sz w:val="24"/>
          <w:szCs w:val="24"/>
        </w:rPr>
        <w:t>c</w:t>
      </w:r>
      <w:r w:rsidRPr="009132DA">
        <w:rPr>
          <w:rFonts w:asciiTheme="minorBidi" w:hAnsiTheme="minorBidi" w:cstheme="minorBidi"/>
          <w:i/>
          <w:sz w:val="24"/>
          <w:szCs w:val="24"/>
        </w:rPr>
        <w:t>hasidim</w:t>
      </w:r>
      <w:proofErr w:type="spellEnd"/>
      <w:r w:rsidRPr="009132DA">
        <w:rPr>
          <w:rFonts w:asciiTheme="minorBidi" w:hAnsiTheme="minorBidi" w:cstheme="minorBidi"/>
          <w:iCs/>
          <w:sz w:val="24"/>
          <w:szCs w:val="24"/>
        </w:rPr>
        <w:t xml:space="preserve"> and pious Jews were put together with the ashes of the radicals and the atheists.  And we all must fight the enemy, who does not differentiate between those who believe in God and those who reject Him.  (</w:t>
      </w:r>
      <w:r w:rsidRPr="009132DA">
        <w:rPr>
          <w:rFonts w:asciiTheme="minorBidi" w:hAnsiTheme="minorBidi" w:cstheme="minorBidi"/>
          <w:i/>
          <w:sz w:val="24"/>
          <w:szCs w:val="24"/>
        </w:rPr>
        <w:t>Community, Covenant and Commitment: Selected Letters and Communications</w:t>
      </w:r>
      <w:r w:rsidRPr="009132DA">
        <w:rPr>
          <w:rFonts w:asciiTheme="minorBidi" w:hAnsiTheme="minorBidi" w:cstheme="minorBidi"/>
          <w:iCs/>
          <w:sz w:val="24"/>
          <w:szCs w:val="24"/>
        </w:rPr>
        <w:t>, 145)</w:t>
      </w:r>
    </w:p>
    <w:p w:rsidR="009132DA" w:rsidRPr="009132DA" w:rsidRDefault="009132DA" w:rsidP="005F2F9C">
      <w:pPr>
        <w:spacing w:after="0" w:line="240" w:lineRule="auto"/>
        <w:ind w:left="720"/>
        <w:jc w:val="both"/>
        <w:rPr>
          <w:rFonts w:asciiTheme="minorBidi" w:hAnsiTheme="minorBidi" w:cstheme="minorBidi"/>
          <w:iCs/>
          <w:sz w:val="24"/>
          <w:szCs w:val="24"/>
        </w:rPr>
      </w:pPr>
    </w:p>
    <w:p w:rsidR="003F0354" w:rsidRDefault="003F0354" w:rsidP="005F2F9C">
      <w:pPr>
        <w:spacing w:after="0" w:line="240" w:lineRule="auto"/>
        <w:jc w:val="both"/>
        <w:rPr>
          <w:rFonts w:asciiTheme="minorBidi" w:hAnsiTheme="minorBidi" w:cstheme="minorBidi"/>
          <w:iCs/>
          <w:sz w:val="24"/>
          <w:szCs w:val="24"/>
        </w:rPr>
      </w:pPr>
      <w:r w:rsidRPr="009132DA">
        <w:rPr>
          <w:rFonts w:asciiTheme="minorBidi" w:hAnsiTheme="minorBidi" w:cstheme="minorBidi"/>
          <w:iCs/>
          <w:sz w:val="24"/>
          <w:szCs w:val="24"/>
        </w:rPr>
        <w:t>Regarding our “fate,” we share a common identity that is not strained by heterogeneous levels of commitment or varied interpretations of the Revelation at Sinai.  Orthodox Jews can and ought to cooperate broadly with Jews of all stripes</w:t>
      </w:r>
      <w:r w:rsidR="00A84D0F">
        <w:rPr>
          <w:rFonts w:asciiTheme="minorBidi" w:hAnsiTheme="minorBidi" w:cstheme="minorBidi"/>
          <w:iCs/>
          <w:sz w:val="24"/>
          <w:szCs w:val="24"/>
        </w:rPr>
        <w:t xml:space="preserve"> (and with each other)</w:t>
      </w:r>
      <w:r w:rsidRPr="009132DA">
        <w:rPr>
          <w:rFonts w:asciiTheme="minorBidi" w:hAnsiTheme="minorBidi" w:cstheme="minorBidi"/>
          <w:iCs/>
          <w:sz w:val="24"/>
          <w:szCs w:val="24"/>
        </w:rPr>
        <w:t xml:space="preserve">, confidently and without reservation, when protecting and advancing our common interests.  Regarding our religious “destiny,” however, R. Soloveitchik advises against joint activity:  “With regard to… our spiritual-religious interests such as Jewish education, synagogues, councils of rabbis… it is my opinion that Orthodoxy cannot and should not unite with such groups which deny the fundamentals of our </w:t>
      </w:r>
      <w:r w:rsidRPr="009132DA">
        <w:rPr>
          <w:rFonts w:asciiTheme="minorBidi" w:hAnsiTheme="minorBidi" w:cstheme="minorBidi"/>
          <w:i/>
          <w:sz w:val="24"/>
          <w:szCs w:val="24"/>
        </w:rPr>
        <w:t>weltanschauung</w:t>
      </w:r>
      <w:r w:rsidRPr="009132DA">
        <w:rPr>
          <w:rFonts w:asciiTheme="minorBidi" w:hAnsiTheme="minorBidi" w:cstheme="minorBidi"/>
          <w:iCs/>
          <w:sz w:val="24"/>
          <w:szCs w:val="24"/>
        </w:rPr>
        <w:t>.”</w:t>
      </w:r>
    </w:p>
    <w:p w:rsidR="003F0354" w:rsidRDefault="003F0354" w:rsidP="005F2F9C">
      <w:pPr>
        <w:spacing w:after="0" w:line="240" w:lineRule="auto"/>
        <w:jc w:val="both"/>
        <w:rPr>
          <w:rFonts w:asciiTheme="minorBidi" w:hAnsiTheme="minorBidi" w:cstheme="minorBidi"/>
          <w:iCs/>
          <w:sz w:val="24"/>
          <w:szCs w:val="24"/>
        </w:rPr>
      </w:pPr>
      <w:r w:rsidRPr="009132DA">
        <w:rPr>
          <w:rFonts w:asciiTheme="minorBidi" w:hAnsiTheme="minorBidi" w:cstheme="minorBidi"/>
          <w:iCs/>
          <w:sz w:val="24"/>
          <w:szCs w:val="24"/>
        </w:rPr>
        <w:lastRenderedPageBreak/>
        <w:tab/>
        <w:t xml:space="preserve">Furthermore, bonds of fate do not only allow for cooperation but demand it.  Thus R. Soloveitchik castigates the American Jewish community, including himself, for its failure to stand up for European Jewry during the Holocaust:  </w:t>
      </w:r>
    </w:p>
    <w:p w:rsidR="009132DA" w:rsidRPr="009132DA" w:rsidRDefault="009132DA" w:rsidP="005F2F9C">
      <w:pPr>
        <w:spacing w:after="0" w:line="240" w:lineRule="auto"/>
        <w:jc w:val="both"/>
        <w:rPr>
          <w:rFonts w:asciiTheme="minorBidi" w:hAnsiTheme="minorBidi" w:cstheme="minorBidi"/>
          <w:iCs/>
          <w:sz w:val="24"/>
          <w:szCs w:val="24"/>
        </w:rPr>
      </w:pPr>
    </w:p>
    <w:p w:rsidR="003F0354" w:rsidRDefault="003F0354" w:rsidP="005F2F9C">
      <w:pPr>
        <w:spacing w:after="0" w:line="240" w:lineRule="auto"/>
        <w:ind w:left="720"/>
        <w:jc w:val="both"/>
        <w:rPr>
          <w:rFonts w:asciiTheme="minorBidi" w:hAnsiTheme="minorBidi" w:cstheme="minorBidi"/>
          <w:iCs/>
          <w:sz w:val="24"/>
          <w:szCs w:val="24"/>
        </w:rPr>
      </w:pPr>
      <w:r w:rsidRPr="009132DA">
        <w:rPr>
          <w:rFonts w:asciiTheme="minorBidi" w:hAnsiTheme="minorBidi" w:cstheme="minorBidi"/>
          <w:iCs/>
          <w:sz w:val="24"/>
          <w:szCs w:val="24"/>
        </w:rPr>
        <w:t>Let us pose a simple question:  Did we not sin with respect to the first covenant, the Covenant of Shared Fate … with regard to our obligation to participate in the pain of the nation and to see and feel its suffering: as it is said, “And He witnessed their burdens” (</w:t>
      </w:r>
      <w:proofErr w:type="spellStart"/>
      <w:r w:rsidRPr="009132DA">
        <w:rPr>
          <w:rFonts w:asciiTheme="minorBidi" w:hAnsiTheme="minorBidi" w:cstheme="minorBidi"/>
          <w:i/>
          <w:sz w:val="24"/>
          <w:szCs w:val="24"/>
        </w:rPr>
        <w:t>Shemot</w:t>
      </w:r>
      <w:proofErr w:type="spellEnd"/>
      <w:r w:rsidRPr="009132DA">
        <w:rPr>
          <w:rFonts w:asciiTheme="minorBidi" w:hAnsiTheme="minorBidi" w:cstheme="minorBidi"/>
          <w:iCs/>
          <w:sz w:val="24"/>
          <w:szCs w:val="24"/>
        </w:rPr>
        <w:t xml:space="preserve"> 2:11)?… It is an extremely painful chapter.  We all sinned by our silence in the face of the murder of millions.  (“</w:t>
      </w:r>
      <w:r w:rsidRPr="009132DA">
        <w:rPr>
          <w:rFonts w:asciiTheme="minorBidi" w:hAnsiTheme="minorBidi" w:cstheme="minorBidi"/>
          <w:i/>
          <w:sz w:val="24"/>
          <w:szCs w:val="24"/>
        </w:rPr>
        <w:t>Kol Dodi Dofek</w:t>
      </w:r>
      <w:r w:rsidRPr="009132DA">
        <w:rPr>
          <w:rFonts w:asciiTheme="minorBidi" w:hAnsiTheme="minorBidi" w:cstheme="minorBidi"/>
          <w:iCs/>
          <w:sz w:val="24"/>
          <w:szCs w:val="24"/>
        </w:rPr>
        <w:t>,” 77-78)</w:t>
      </w:r>
    </w:p>
    <w:p w:rsidR="009132DA" w:rsidRPr="009132DA" w:rsidRDefault="009132DA" w:rsidP="005F2F9C">
      <w:pPr>
        <w:spacing w:after="0" w:line="240" w:lineRule="auto"/>
        <w:ind w:left="720"/>
        <w:jc w:val="both"/>
        <w:rPr>
          <w:rFonts w:asciiTheme="minorBidi" w:hAnsiTheme="minorBidi" w:cstheme="minorBidi"/>
          <w:iCs/>
          <w:sz w:val="24"/>
          <w:szCs w:val="24"/>
        </w:rPr>
      </w:pPr>
    </w:p>
    <w:p w:rsidR="003F0354" w:rsidRDefault="003F0354" w:rsidP="005F2F9C">
      <w:pPr>
        <w:spacing w:after="0" w:line="240" w:lineRule="auto"/>
        <w:jc w:val="both"/>
        <w:rPr>
          <w:rFonts w:asciiTheme="minorBidi" w:hAnsiTheme="minorBidi" w:cstheme="minorBidi"/>
          <w:iCs/>
          <w:sz w:val="24"/>
          <w:szCs w:val="24"/>
        </w:rPr>
      </w:pPr>
      <w:r w:rsidRPr="009132DA">
        <w:rPr>
          <w:rFonts w:asciiTheme="minorBidi" w:hAnsiTheme="minorBidi" w:cstheme="minorBidi"/>
          <w:iCs/>
          <w:sz w:val="24"/>
          <w:szCs w:val="24"/>
        </w:rPr>
        <w:t xml:space="preserve">In the fledging Jewish state, R. Soloveitchik sees yet another challenge, and perhaps an opportunity to redeem past errors:  “In the crisis that the Land of Israel is [at present] passing through, Providence is again testing us….  </w:t>
      </w:r>
      <w:proofErr w:type="gramStart"/>
      <w:r w:rsidRPr="009132DA">
        <w:rPr>
          <w:rFonts w:asciiTheme="minorBidi" w:hAnsiTheme="minorBidi" w:cstheme="minorBidi"/>
          <w:iCs/>
          <w:sz w:val="24"/>
          <w:szCs w:val="24"/>
        </w:rPr>
        <w:t>Come,</w:t>
      </w:r>
      <w:proofErr w:type="gramEnd"/>
      <w:r w:rsidRPr="009132DA">
        <w:rPr>
          <w:rFonts w:asciiTheme="minorBidi" w:hAnsiTheme="minorBidi" w:cstheme="minorBidi"/>
          <w:iCs/>
          <w:sz w:val="24"/>
          <w:szCs w:val="24"/>
        </w:rPr>
        <w:t xml:space="preserve"> let us pray ‘for our friends’ (</w:t>
      </w:r>
      <w:proofErr w:type="spellStart"/>
      <w:r w:rsidRPr="009132DA">
        <w:rPr>
          <w:rFonts w:asciiTheme="minorBidi" w:hAnsiTheme="minorBidi" w:cstheme="minorBidi"/>
          <w:i/>
          <w:sz w:val="24"/>
          <w:szCs w:val="24"/>
        </w:rPr>
        <w:t>Iyov</w:t>
      </w:r>
      <w:proofErr w:type="spellEnd"/>
      <w:r w:rsidRPr="009132DA">
        <w:rPr>
          <w:rFonts w:asciiTheme="minorBidi" w:hAnsiTheme="minorBidi" w:cstheme="minorBidi"/>
          <w:iCs/>
          <w:sz w:val="24"/>
          <w:szCs w:val="24"/>
        </w:rPr>
        <w:t xml:space="preserve"> 42:10).  </w:t>
      </w:r>
      <w:proofErr w:type="gramStart"/>
      <w:r w:rsidRPr="009132DA">
        <w:rPr>
          <w:rFonts w:asciiTheme="minorBidi" w:hAnsiTheme="minorBidi" w:cstheme="minorBidi"/>
          <w:iCs/>
          <w:sz w:val="24"/>
          <w:szCs w:val="24"/>
        </w:rPr>
        <w:t xml:space="preserve">Let us feel for the suffering of the </w:t>
      </w:r>
      <w:proofErr w:type="spellStart"/>
      <w:r w:rsidRPr="009132DA">
        <w:rPr>
          <w:rFonts w:asciiTheme="minorBidi" w:hAnsiTheme="minorBidi" w:cstheme="minorBidi"/>
          <w:i/>
          <w:sz w:val="24"/>
          <w:szCs w:val="24"/>
        </w:rPr>
        <w:t>Yishuv</w:t>
      </w:r>
      <w:proofErr w:type="spellEnd"/>
      <w:r w:rsidRPr="009132DA">
        <w:rPr>
          <w:rFonts w:asciiTheme="minorBidi" w:hAnsiTheme="minorBidi" w:cstheme="minorBidi"/>
          <w:iCs/>
          <w:sz w:val="24"/>
          <w:szCs w:val="24"/>
        </w:rPr>
        <w:t>”</w:t>
      </w:r>
      <w:r w:rsidR="009F78EC" w:rsidRPr="009132DA">
        <w:rPr>
          <w:rFonts w:asciiTheme="minorBidi" w:hAnsiTheme="minorBidi" w:cstheme="minorBidi"/>
          <w:iCs/>
          <w:sz w:val="24"/>
          <w:szCs w:val="24"/>
        </w:rPr>
        <w:t xml:space="preserve"> (</w:t>
      </w:r>
      <w:r w:rsidR="009828FD" w:rsidRPr="009132DA">
        <w:rPr>
          <w:rFonts w:asciiTheme="minorBidi" w:hAnsiTheme="minorBidi" w:cstheme="minorBidi"/>
          <w:iCs/>
          <w:sz w:val="24"/>
          <w:szCs w:val="24"/>
        </w:rPr>
        <w:t>78-80</w:t>
      </w:r>
      <w:r w:rsidR="009F78EC" w:rsidRPr="009132DA">
        <w:rPr>
          <w:rFonts w:asciiTheme="minorBidi" w:hAnsiTheme="minorBidi" w:cstheme="minorBidi"/>
          <w:iCs/>
          <w:sz w:val="24"/>
          <w:szCs w:val="24"/>
        </w:rPr>
        <w:t>).</w:t>
      </w:r>
      <w:proofErr w:type="gramEnd"/>
    </w:p>
    <w:p w:rsidR="009132DA" w:rsidRPr="009132DA" w:rsidRDefault="009132DA" w:rsidP="005F2F9C">
      <w:pPr>
        <w:spacing w:after="0" w:line="240" w:lineRule="auto"/>
        <w:jc w:val="both"/>
        <w:rPr>
          <w:rFonts w:asciiTheme="minorBidi" w:hAnsiTheme="minorBidi" w:cstheme="minorBidi"/>
          <w:iCs/>
          <w:sz w:val="24"/>
          <w:szCs w:val="24"/>
        </w:rPr>
      </w:pPr>
    </w:p>
    <w:p w:rsidR="003F0354" w:rsidRDefault="003F0354" w:rsidP="005F2F9C">
      <w:pPr>
        <w:spacing w:after="0" w:line="240" w:lineRule="auto"/>
        <w:jc w:val="both"/>
        <w:rPr>
          <w:rFonts w:asciiTheme="minorBidi" w:hAnsiTheme="minorBidi" w:cstheme="minorBidi"/>
          <w:iCs/>
          <w:sz w:val="24"/>
          <w:szCs w:val="24"/>
        </w:rPr>
      </w:pPr>
      <w:r w:rsidRPr="009132DA">
        <w:rPr>
          <w:rFonts w:asciiTheme="minorBidi" w:hAnsiTheme="minorBidi" w:cstheme="minorBidi"/>
          <w:iCs/>
          <w:sz w:val="24"/>
          <w:szCs w:val="24"/>
        </w:rPr>
        <w:tab/>
        <w:t xml:space="preserve">R. Soloveitchik was also forthright that faithful adherence to </w:t>
      </w:r>
      <w:r w:rsidRPr="009132DA">
        <w:rPr>
          <w:rFonts w:asciiTheme="minorBidi" w:hAnsiTheme="minorBidi" w:cstheme="minorBidi"/>
          <w:i/>
          <w:sz w:val="24"/>
          <w:szCs w:val="24"/>
        </w:rPr>
        <w:t xml:space="preserve">berit Sinai </w:t>
      </w:r>
      <w:r w:rsidRPr="009132DA">
        <w:rPr>
          <w:rFonts w:asciiTheme="minorBidi" w:hAnsiTheme="minorBidi" w:cstheme="minorBidi"/>
          <w:iCs/>
          <w:sz w:val="24"/>
          <w:szCs w:val="24"/>
        </w:rPr>
        <w:t xml:space="preserve">neither exempts from nor guarantees active commitment to </w:t>
      </w:r>
      <w:r w:rsidRPr="009132DA">
        <w:rPr>
          <w:rFonts w:asciiTheme="minorBidi" w:hAnsiTheme="minorBidi" w:cstheme="minorBidi"/>
          <w:i/>
          <w:sz w:val="24"/>
          <w:szCs w:val="24"/>
        </w:rPr>
        <w:t>berit Avot</w:t>
      </w:r>
      <w:r w:rsidRPr="009132DA">
        <w:rPr>
          <w:rFonts w:asciiTheme="minorBidi" w:hAnsiTheme="minorBidi" w:cstheme="minorBidi"/>
          <w:iCs/>
          <w:sz w:val="24"/>
          <w:szCs w:val="24"/>
        </w:rPr>
        <w:t>:</w:t>
      </w:r>
    </w:p>
    <w:p w:rsidR="009132DA" w:rsidRPr="009132DA" w:rsidRDefault="009132DA" w:rsidP="005F2F9C">
      <w:pPr>
        <w:spacing w:after="0" w:line="240" w:lineRule="auto"/>
        <w:jc w:val="both"/>
        <w:rPr>
          <w:rFonts w:asciiTheme="minorBidi" w:hAnsiTheme="minorBidi" w:cstheme="minorBidi"/>
          <w:iCs/>
          <w:sz w:val="24"/>
          <w:szCs w:val="24"/>
        </w:rPr>
      </w:pPr>
    </w:p>
    <w:p w:rsidR="003F0354" w:rsidRDefault="003F0354" w:rsidP="005F2F9C">
      <w:pPr>
        <w:spacing w:after="0" w:line="240" w:lineRule="auto"/>
        <w:ind w:left="720"/>
        <w:jc w:val="both"/>
        <w:rPr>
          <w:rFonts w:asciiTheme="minorBidi" w:hAnsiTheme="minorBidi" w:cstheme="minorBidi"/>
          <w:iCs/>
          <w:sz w:val="24"/>
          <w:szCs w:val="24"/>
        </w:rPr>
      </w:pPr>
      <w:r w:rsidRPr="009132DA">
        <w:rPr>
          <w:rFonts w:asciiTheme="minorBidi" w:hAnsiTheme="minorBidi" w:cstheme="minorBidi"/>
          <w:iCs/>
          <w:sz w:val="24"/>
          <w:szCs w:val="24"/>
        </w:rPr>
        <w:t>One may observe the Torah and mitzvoth and be fully within the covenant of Sinai, yet at the same time profaning the Patriarchal sanctity… Unfortunately, that type of Jew, who rebels against the Patriarchal covenant, is emerging here also.  True, he is religious and careful to observe mitzvoth, but his fate consciousness is not Jewish.  (</w:t>
      </w:r>
      <w:r w:rsidRPr="009132DA">
        <w:rPr>
          <w:rFonts w:asciiTheme="minorBidi" w:hAnsiTheme="minorBidi" w:cstheme="minorBidi"/>
          <w:i/>
          <w:sz w:val="24"/>
          <w:szCs w:val="24"/>
        </w:rPr>
        <w:t>The Rav Speaks:  Five Addresses on Israel, History, and the Jewish People</w:t>
      </w:r>
      <w:r w:rsidRPr="009132DA">
        <w:rPr>
          <w:rFonts w:asciiTheme="minorBidi" w:hAnsiTheme="minorBidi" w:cstheme="minorBidi"/>
          <w:iCs/>
          <w:sz w:val="24"/>
          <w:szCs w:val="24"/>
        </w:rPr>
        <w:t>, 147-148).</w:t>
      </w:r>
    </w:p>
    <w:p w:rsidR="009132DA" w:rsidRPr="009132DA" w:rsidRDefault="009132DA" w:rsidP="005F2F9C">
      <w:pPr>
        <w:spacing w:after="0" w:line="240" w:lineRule="auto"/>
        <w:ind w:left="720"/>
        <w:jc w:val="both"/>
        <w:rPr>
          <w:rFonts w:asciiTheme="minorBidi" w:hAnsiTheme="minorBidi" w:cstheme="minorBidi"/>
          <w:iCs/>
          <w:sz w:val="24"/>
          <w:szCs w:val="24"/>
        </w:rPr>
      </w:pPr>
    </w:p>
    <w:p w:rsidR="003F0354" w:rsidRPr="009132DA" w:rsidRDefault="003F0354" w:rsidP="005F2F9C">
      <w:pPr>
        <w:spacing w:after="0" w:line="240" w:lineRule="auto"/>
        <w:jc w:val="both"/>
        <w:rPr>
          <w:rFonts w:asciiTheme="minorBidi" w:hAnsiTheme="minorBidi" w:cstheme="minorBidi"/>
          <w:iCs/>
          <w:sz w:val="24"/>
          <w:szCs w:val="24"/>
        </w:rPr>
      </w:pPr>
      <w:r w:rsidRPr="009132DA">
        <w:rPr>
          <w:rFonts w:asciiTheme="minorBidi" w:hAnsiTheme="minorBidi" w:cstheme="minorBidi"/>
          <w:iCs/>
          <w:sz w:val="24"/>
          <w:szCs w:val="24"/>
        </w:rPr>
        <w:t xml:space="preserve">Observing the 613 </w:t>
      </w:r>
      <w:r w:rsidRPr="009132DA">
        <w:rPr>
          <w:rFonts w:asciiTheme="minorBidi" w:hAnsiTheme="minorBidi" w:cstheme="minorBidi"/>
          <w:i/>
          <w:sz w:val="24"/>
          <w:szCs w:val="24"/>
        </w:rPr>
        <w:t>mitzvot</w:t>
      </w:r>
      <w:r w:rsidRPr="009132DA">
        <w:rPr>
          <w:rFonts w:asciiTheme="minorBidi" w:hAnsiTheme="minorBidi" w:cstheme="minorBidi"/>
          <w:iCs/>
          <w:sz w:val="24"/>
          <w:szCs w:val="24"/>
        </w:rPr>
        <w:t xml:space="preserve"> in all of their minutiae is necessary but not sufficient for a dutiful Jewish life.  Awareness of our existential “otherness”</w:t>
      </w:r>
      <w:r w:rsidR="00435033">
        <w:rPr>
          <w:rFonts w:asciiTheme="minorBidi" w:hAnsiTheme="minorBidi" w:cstheme="minorBidi"/>
          <w:iCs/>
          <w:sz w:val="24"/>
          <w:szCs w:val="24"/>
        </w:rPr>
        <w:t>;</w:t>
      </w:r>
      <w:r w:rsidRPr="009132DA">
        <w:rPr>
          <w:rFonts w:asciiTheme="minorBidi" w:hAnsiTheme="minorBidi" w:cstheme="minorBidi"/>
          <w:iCs/>
          <w:sz w:val="24"/>
          <w:szCs w:val="24"/>
        </w:rPr>
        <w:t xml:space="preserve"> concern, in that context, for the welfare of the greater Jewish community; participation in its causes; mobilization of resources for its needs and cooperation with Jews across the spectrum towards these goals are all within the calling of </w:t>
      </w:r>
      <w:r w:rsidRPr="009132DA">
        <w:rPr>
          <w:rFonts w:asciiTheme="minorBidi" w:hAnsiTheme="minorBidi" w:cstheme="minorBidi"/>
          <w:i/>
          <w:sz w:val="24"/>
          <w:szCs w:val="24"/>
        </w:rPr>
        <w:t>berit Avot</w:t>
      </w:r>
      <w:r w:rsidRPr="009132DA">
        <w:rPr>
          <w:rFonts w:asciiTheme="minorBidi" w:hAnsiTheme="minorBidi" w:cstheme="minorBidi"/>
          <w:iCs/>
          <w:sz w:val="24"/>
          <w:szCs w:val="24"/>
        </w:rPr>
        <w:t>.</w:t>
      </w:r>
    </w:p>
    <w:p w:rsidR="003F0354" w:rsidRPr="009132DA" w:rsidRDefault="003F0354" w:rsidP="005F2F9C">
      <w:pPr>
        <w:spacing w:after="0" w:line="240" w:lineRule="auto"/>
        <w:jc w:val="both"/>
        <w:rPr>
          <w:rFonts w:asciiTheme="minorBidi" w:hAnsiTheme="minorBidi" w:cstheme="minorBidi"/>
          <w:iCs/>
          <w:sz w:val="24"/>
          <w:szCs w:val="24"/>
        </w:rPr>
      </w:pPr>
    </w:p>
    <w:p w:rsidR="003F0354" w:rsidRDefault="003F0354" w:rsidP="005F2F9C">
      <w:pPr>
        <w:spacing w:after="0" w:line="240" w:lineRule="auto"/>
        <w:jc w:val="both"/>
        <w:rPr>
          <w:rFonts w:asciiTheme="minorBidi" w:hAnsiTheme="minorBidi" w:cstheme="minorBidi"/>
          <w:b/>
          <w:bCs/>
          <w:iCs/>
          <w:sz w:val="24"/>
          <w:szCs w:val="24"/>
        </w:rPr>
      </w:pPr>
      <w:r w:rsidRPr="009132DA">
        <w:rPr>
          <w:rFonts w:asciiTheme="minorBidi" w:hAnsiTheme="minorBidi" w:cstheme="minorBidi"/>
          <w:b/>
          <w:bCs/>
          <w:iCs/>
          <w:sz w:val="24"/>
          <w:szCs w:val="24"/>
        </w:rPr>
        <w:t>The Limits of “</w:t>
      </w:r>
      <w:r w:rsidRPr="009132DA">
        <w:rPr>
          <w:rFonts w:asciiTheme="minorBidi" w:hAnsiTheme="minorBidi" w:cstheme="minorBidi"/>
          <w:b/>
          <w:bCs/>
          <w:i/>
          <w:sz w:val="24"/>
          <w:szCs w:val="24"/>
        </w:rPr>
        <w:t>Kol Dodi Dofek</w:t>
      </w:r>
      <w:r w:rsidRPr="009132DA">
        <w:rPr>
          <w:rFonts w:asciiTheme="minorBidi" w:hAnsiTheme="minorBidi" w:cstheme="minorBidi"/>
          <w:b/>
          <w:bCs/>
          <w:iCs/>
          <w:sz w:val="24"/>
          <w:szCs w:val="24"/>
        </w:rPr>
        <w:t>”</w:t>
      </w:r>
    </w:p>
    <w:p w:rsidR="009132DA" w:rsidRPr="009132DA" w:rsidRDefault="009132DA" w:rsidP="005F2F9C">
      <w:pPr>
        <w:spacing w:after="0" w:line="240" w:lineRule="auto"/>
        <w:jc w:val="both"/>
        <w:rPr>
          <w:rFonts w:asciiTheme="minorBidi" w:hAnsiTheme="minorBidi" w:cstheme="minorBidi"/>
          <w:b/>
          <w:bCs/>
          <w:iCs/>
          <w:sz w:val="24"/>
          <w:szCs w:val="24"/>
        </w:rPr>
      </w:pPr>
    </w:p>
    <w:p w:rsidR="003F0354" w:rsidRDefault="003F0354" w:rsidP="005F2F9C">
      <w:pPr>
        <w:spacing w:after="0" w:line="240" w:lineRule="auto"/>
        <w:jc w:val="both"/>
        <w:rPr>
          <w:rFonts w:asciiTheme="minorBidi" w:hAnsiTheme="minorBidi" w:cstheme="minorBidi"/>
          <w:iCs/>
          <w:sz w:val="24"/>
          <w:szCs w:val="24"/>
        </w:rPr>
      </w:pPr>
      <w:r w:rsidRPr="009132DA">
        <w:rPr>
          <w:rFonts w:asciiTheme="minorBidi" w:hAnsiTheme="minorBidi" w:cstheme="minorBidi"/>
          <w:iCs/>
          <w:sz w:val="24"/>
          <w:szCs w:val="24"/>
        </w:rPr>
        <w:tab/>
        <w:t>On the one hand, R. Soloveitchik’s insights regarding the dual nature of Jewish identity were groundbreaking for their time and continue to inform and inspire.  While some focus upon his insistence on Orthodox isolation regarding religious matters, R. Reuven Ziegler notes the novelty of his approach to the non-Orthodox community:</w:t>
      </w:r>
    </w:p>
    <w:p w:rsidR="009132DA" w:rsidRPr="009132DA" w:rsidRDefault="009132DA" w:rsidP="005F2F9C">
      <w:pPr>
        <w:spacing w:after="0" w:line="240" w:lineRule="auto"/>
        <w:jc w:val="both"/>
        <w:rPr>
          <w:rFonts w:asciiTheme="minorBidi" w:hAnsiTheme="minorBidi" w:cstheme="minorBidi"/>
          <w:iCs/>
          <w:sz w:val="24"/>
          <w:szCs w:val="24"/>
        </w:rPr>
      </w:pPr>
    </w:p>
    <w:p w:rsidR="003F0354" w:rsidRDefault="003F0354" w:rsidP="005F2F9C">
      <w:pPr>
        <w:spacing w:after="0" w:line="240" w:lineRule="auto"/>
        <w:ind w:left="720"/>
        <w:jc w:val="both"/>
        <w:rPr>
          <w:rFonts w:asciiTheme="minorBidi" w:hAnsiTheme="minorBidi" w:cstheme="minorBidi"/>
          <w:iCs/>
          <w:sz w:val="24"/>
          <w:szCs w:val="24"/>
        </w:rPr>
      </w:pPr>
      <w:r w:rsidRPr="009132DA">
        <w:rPr>
          <w:rFonts w:asciiTheme="minorBidi" w:hAnsiTheme="minorBidi" w:cstheme="minorBidi"/>
          <w:iCs/>
          <w:sz w:val="24"/>
          <w:szCs w:val="24"/>
        </w:rPr>
        <w:t xml:space="preserve">[Other] Orthodox approaches do not lend much dignity or legitimacy to non-observant Jews.  With his idea of two covenants, Rav Soloveitchik offers a religious theory of Jewish identity for non-observant Jews, one that sees them as having a dignified and legitimate (though not fully ideal) </w:t>
      </w:r>
      <w:r w:rsidRPr="009132DA">
        <w:rPr>
          <w:rFonts w:asciiTheme="minorBidi" w:hAnsiTheme="minorBidi" w:cstheme="minorBidi"/>
          <w:iCs/>
          <w:sz w:val="24"/>
          <w:szCs w:val="24"/>
        </w:rPr>
        <w:lastRenderedPageBreak/>
        <w:t>place within the Jewish world and within the halakhic world-view:  they are partners in the covenant of fate but not in the covenant of destiny.  (</w:t>
      </w:r>
      <w:r w:rsidRPr="009132DA">
        <w:rPr>
          <w:rFonts w:asciiTheme="minorBidi" w:hAnsiTheme="minorBidi" w:cstheme="minorBidi"/>
          <w:i/>
          <w:sz w:val="24"/>
          <w:szCs w:val="24"/>
        </w:rPr>
        <w:t>Majesty and Humility:  The Thought of Rabbi Joseph B. Soloveitchik</w:t>
      </w:r>
      <w:r w:rsidRPr="009132DA">
        <w:rPr>
          <w:rFonts w:asciiTheme="minorBidi" w:hAnsiTheme="minorBidi" w:cstheme="minorBidi"/>
          <w:iCs/>
          <w:sz w:val="24"/>
          <w:szCs w:val="24"/>
        </w:rPr>
        <w:t>, 287)</w:t>
      </w:r>
    </w:p>
    <w:p w:rsidR="009132DA" w:rsidRPr="009132DA" w:rsidRDefault="009132DA" w:rsidP="005F2F9C">
      <w:pPr>
        <w:spacing w:after="0" w:line="240" w:lineRule="auto"/>
        <w:ind w:left="720"/>
        <w:jc w:val="both"/>
        <w:rPr>
          <w:rFonts w:asciiTheme="minorBidi" w:hAnsiTheme="minorBidi" w:cstheme="minorBidi"/>
          <w:iCs/>
          <w:sz w:val="24"/>
          <w:szCs w:val="24"/>
        </w:rPr>
      </w:pPr>
    </w:p>
    <w:p w:rsidR="003F0354" w:rsidRDefault="003F0354" w:rsidP="005F2F9C">
      <w:pPr>
        <w:spacing w:after="0" w:line="240" w:lineRule="auto"/>
        <w:jc w:val="both"/>
        <w:rPr>
          <w:rFonts w:asciiTheme="minorBidi" w:hAnsiTheme="minorBidi" w:cstheme="minorBidi"/>
          <w:sz w:val="24"/>
          <w:szCs w:val="24"/>
        </w:rPr>
      </w:pPr>
      <w:r w:rsidRPr="009132DA">
        <w:rPr>
          <w:rFonts w:asciiTheme="minorBidi" w:hAnsiTheme="minorBidi" w:cstheme="minorBidi"/>
          <w:iCs/>
          <w:sz w:val="24"/>
          <w:szCs w:val="24"/>
        </w:rPr>
        <w:t xml:space="preserve">Thus R. Soloveitchik gives the Orthodox community a mandate for joint enterprise with other denominations regarding a wide range of Jewish affairs.  This message, derived from </w:t>
      </w:r>
      <w:r w:rsidRPr="009132DA">
        <w:rPr>
          <w:rFonts w:asciiTheme="minorBidi" w:hAnsiTheme="minorBidi" w:cstheme="minorBidi"/>
          <w:i/>
          <w:sz w:val="24"/>
          <w:szCs w:val="24"/>
        </w:rPr>
        <w:t>berit Avot</w:t>
      </w:r>
      <w:r w:rsidRPr="009132DA">
        <w:rPr>
          <w:rFonts w:asciiTheme="minorBidi" w:hAnsiTheme="minorBidi" w:cstheme="minorBidi"/>
          <w:iCs/>
          <w:sz w:val="24"/>
          <w:szCs w:val="24"/>
        </w:rPr>
        <w:t xml:space="preserve">, is straightforward enough, yet cannot always be taken for granted.  To cite one example:  </w:t>
      </w:r>
      <w:r w:rsidRPr="009132DA">
        <w:rPr>
          <w:rFonts w:asciiTheme="minorBidi" w:hAnsiTheme="minorBidi" w:cstheme="minorBidi"/>
          <w:i/>
          <w:sz w:val="24"/>
          <w:szCs w:val="24"/>
        </w:rPr>
        <w:t>Mori ve-rabbi</w:t>
      </w:r>
      <w:r w:rsidRPr="009132DA">
        <w:rPr>
          <w:rFonts w:asciiTheme="minorBidi" w:hAnsiTheme="minorBidi" w:cstheme="minorBidi"/>
          <w:iCs/>
          <w:sz w:val="24"/>
          <w:szCs w:val="24"/>
        </w:rPr>
        <w:t xml:space="preserve"> R. Aharon Lichtenstein writes how he was once asked </w:t>
      </w:r>
      <w:r w:rsidR="009F78EC" w:rsidRPr="009132DA">
        <w:rPr>
          <w:rFonts w:asciiTheme="minorBidi" w:hAnsiTheme="minorBidi" w:cstheme="minorBidi"/>
          <w:iCs/>
          <w:sz w:val="24"/>
          <w:szCs w:val="24"/>
        </w:rPr>
        <w:t xml:space="preserve">whether </w:t>
      </w:r>
      <w:r w:rsidRPr="009132DA">
        <w:rPr>
          <w:rFonts w:asciiTheme="minorBidi" w:hAnsiTheme="minorBidi" w:cstheme="minorBidi"/>
          <w:iCs/>
          <w:sz w:val="24"/>
          <w:szCs w:val="24"/>
        </w:rPr>
        <w:t xml:space="preserve">Orthodox Jews </w:t>
      </w:r>
      <w:r w:rsidR="009F78EC" w:rsidRPr="009132DA">
        <w:rPr>
          <w:rFonts w:asciiTheme="minorBidi" w:hAnsiTheme="minorBidi" w:cstheme="minorBidi"/>
          <w:iCs/>
          <w:sz w:val="24"/>
          <w:szCs w:val="24"/>
        </w:rPr>
        <w:t xml:space="preserve">should participate </w:t>
      </w:r>
      <w:r w:rsidRPr="009132DA">
        <w:rPr>
          <w:rFonts w:asciiTheme="minorBidi" w:hAnsiTheme="minorBidi" w:cstheme="minorBidi"/>
          <w:iCs/>
          <w:sz w:val="24"/>
          <w:szCs w:val="24"/>
        </w:rPr>
        <w:t xml:space="preserve">in a joint </w:t>
      </w:r>
      <w:r w:rsidRPr="009132DA">
        <w:rPr>
          <w:rFonts w:asciiTheme="minorBidi" w:hAnsiTheme="minorBidi" w:cstheme="minorBidi"/>
          <w:i/>
          <w:sz w:val="24"/>
          <w:szCs w:val="24"/>
        </w:rPr>
        <w:t>Yom Ha-</w:t>
      </w:r>
      <w:proofErr w:type="spellStart"/>
      <w:r w:rsidRPr="009132DA">
        <w:rPr>
          <w:rFonts w:asciiTheme="minorBidi" w:hAnsiTheme="minorBidi" w:cstheme="minorBidi"/>
          <w:i/>
          <w:sz w:val="24"/>
          <w:szCs w:val="24"/>
        </w:rPr>
        <w:t>sho’a</w:t>
      </w:r>
      <w:proofErr w:type="spellEnd"/>
      <w:r w:rsidRPr="009132DA">
        <w:rPr>
          <w:rFonts w:asciiTheme="minorBidi" w:hAnsiTheme="minorBidi" w:cstheme="minorBidi"/>
          <w:i/>
          <w:iCs/>
          <w:sz w:val="24"/>
          <w:szCs w:val="24"/>
        </w:rPr>
        <w:t xml:space="preserve"> </w:t>
      </w:r>
      <w:r w:rsidRPr="009132DA">
        <w:rPr>
          <w:rFonts w:asciiTheme="minorBidi" w:hAnsiTheme="minorBidi" w:cstheme="minorBidi"/>
          <w:sz w:val="24"/>
          <w:szCs w:val="24"/>
        </w:rPr>
        <w:t xml:space="preserve">service with the non-Orthodox community:  “Shocked, I responded that, as far as I knew, the Nazis had not differentiated.  Could we?  In my stupefaction, I realized that we had an educational charge to fulfill” (“Beyond the Pale?  </w:t>
      </w:r>
      <w:proofErr w:type="gramStart"/>
      <w:r w:rsidRPr="009132DA">
        <w:rPr>
          <w:rFonts w:asciiTheme="minorBidi" w:hAnsiTheme="minorBidi" w:cstheme="minorBidi"/>
          <w:sz w:val="24"/>
          <w:szCs w:val="24"/>
        </w:rPr>
        <w:t xml:space="preserve">Contemporary Relations with Non-Orthodox Jews,” </w:t>
      </w:r>
      <w:r w:rsidRPr="009132DA">
        <w:rPr>
          <w:rFonts w:asciiTheme="minorBidi" w:hAnsiTheme="minorBidi" w:cstheme="minorBidi"/>
          <w:i/>
          <w:iCs/>
          <w:sz w:val="24"/>
          <w:szCs w:val="24"/>
        </w:rPr>
        <w:t>Varieties of Jewish Experience</w:t>
      </w:r>
      <w:r w:rsidRPr="009132DA">
        <w:rPr>
          <w:rFonts w:asciiTheme="minorBidi" w:hAnsiTheme="minorBidi" w:cstheme="minorBidi"/>
          <w:sz w:val="24"/>
          <w:szCs w:val="24"/>
        </w:rPr>
        <w:t>, 149).</w:t>
      </w:r>
      <w:proofErr w:type="gramEnd"/>
      <w:r w:rsidRPr="009132DA">
        <w:rPr>
          <w:rStyle w:val="FootnoteReference"/>
          <w:rFonts w:asciiTheme="minorBidi" w:hAnsiTheme="minorBidi" w:cstheme="minorBidi"/>
          <w:sz w:val="24"/>
          <w:szCs w:val="24"/>
        </w:rPr>
        <w:footnoteReference w:id="1"/>
      </w:r>
    </w:p>
    <w:p w:rsidR="009132DA" w:rsidRPr="009132DA" w:rsidRDefault="009132DA" w:rsidP="005F2F9C">
      <w:pPr>
        <w:spacing w:after="0" w:line="240" w:lineRule="auto"/>
        <w:jc w:val="both"/>
        <w:rPr>
          <w:rFonts w:asciiTheme="minorBidi" w:hAnsiTheme="minorBidi" w:cstheme="minorBidi"/>
          <w:sz w:val="24"/>
          <w:szCs w:val="24"/>
        </w:rPr>
      </w:pPr>
    </w:p>
    <w:p w:rsidR="009132DA" w:rsidRDefault="003F0354" w:rsidP="005F2F9C">
      <w:pPr>
        <w:spacing w:after="0" w:line="240" w:lineRule="auto"/>
        <w:jc w:val="both"/>
        <w:rPr>
          <w:rFonts w:asciiTheme="minorBidi" w:hAnsiTheme="minorBidi" w:cstheme="minorBidi"/>
          <w:sz w:val="24"/>
          <w:szCs w:val="24"/>
        </w:rPr>
      </w:pPr>
      <w:r w:rsidRPr="009132DA">
        <w:rPr>
          <w:rFonts w:asciiTheme="minorBidi" w:hAnsiTheme="minorBidi" w:cstheme="minorBidi"/>
          <w:sz w:val="24"/>
          <w:szCs w:val="24"/>
        </w:rPr>
        <w:tab/>
        <w:t xml:space="preserve">However, though I personally identify with R. Ziegler’s characterization, I concede that I don’t find that strong a statement in my own reading of R. Soloveitchik’s published works.  The “covenant of fate,” as R. Soloveitchik relates to </w:t>
      </w:r>
      <w:r w:rsidR="003E67B7">
        <w:rPr>
          <w:rFonts w:asciiTheme="minorBidi" w:hAnsiTheme="minorBidi" w:cstheme="minorBidi"/>
          <w:sz w:val="24"/>
          <w:szCs w:val="24"/>
        </w:rPr>
        <w:t xml:space="preserve">it </w:t>
      </w:r>
      <w:r w:rsidRPr="009132DA">
        <w:rPr>
          <w:rFonts w:asciiTheme="minorBidi" w:hAnsiTheme="minorBidi" w:cstheme="minorBidi"/>
          <w:sz w:val="24"/>
          <w:szCs w:val="24"/>
        </w:rPr>
        <w:t>in various contexts, does not seem to afford its participants a “dignified and legitimate place.”  To the contrary, the experience of fate is entrapping, frightening and isolating:  “Man does not find the experience of fate satisfying.  On the contrary, it causes him pain.  The feeling of i</w:t>
      </w:r>
      <w:r w:rsidR="006B3D11" w:rsidRPr="009132DA">
        <w:rPr>
          <w:rFonts w:asciiTheme="minorBidi" w:hAnsiTheme="minorBidi" w:cstheme="minorBidi"/>
          <w:sz w:val="24"/>
          <w:szCs w:val="24"/>
        </w:rPr>
        <w:t>solation is very destructive” (</w:t>
      </w:r>
      <w:r w:rsidRPr="009132DA">
        <w:rPr>
          <w:rFonts w:asciiTheme="minorBidi" w:hAnsiTheme="minorBidi" w:cstheme="minorBidi"/>
          <w:i/>
          <w:iCs/>
          <w:sz w:val="24"/>
          <w:szCs w:val="24"/>
        </w:rPr>
        <w:t>Kol Dodi Dofek</w:t>
      </w:r>
      <w:r w:rsidR="006B3D11" w:rsidRPr="009132DA">
        <w:rPr>
          <w:rFonts w:asciiTheme="minorBidi" w:hAnsiTheme="minorBidi" w:cstheme="minorBidi"/>
          <w:sz w:val="24"/>
          <w:szCs w:val="24"/>
        </w:rPr>
        <w:t>,</w:t>
      </w:r>
      <w:r w:rsidRPr="009132DA">
        <w:rPr>
          <w:rFonts w:asciiTheme="minorBidi" w:hAnsiTheme="minorBidi" w:cstheme="minorBidi"/>
          <w:sz w:val="24"/>
          <w:szCs w:val="24"/>
        </w:rPr>
        <w:t xml:space="preserve"> 85).  Participation in the covenant of fate does not mean being ennobled by a set of shared, albeit limited values, but jointly suffering from the same inexorable loneliness, “devoid of reason and direction” (85).  </w:t>
      </w:r>
    </w:p>
    <w:p w:rsidR="009132DA" w:rsidRDefault="009132DA" w:rsidP="005F2F9C">
      <w:pPr>
        <w:spacing w:after="0" w:line="240" w:lineRule="auto"/>
        <w:jc w:val="both"/>
        <w:rPr>
          <w:rFonts w:asciiTheme="minorBidi" w:hAnsiTheme="minorBidi" w:cstheme="minorBidi"/>
          <w:sz w:val="24"/>
          <w:szCs w:val="24"/>
        </w:rPr>
      </w:pPr>
    </w:p>
    <w:p w:rsidR="003F0354" w:rsidRDefault="003F0354" w:rsidP="005F2F9C">
      <w:pPr>
        <w:spacing w:after="0" w:line="240" w:lineRule="auto"/>
        <w:jc w:val="both"/>
        <w:rPr>
          <w:rFonts w:asciiTheme="minorBidi" w:hAnsiTheme="minorBidi" w:cstheme="minorBidi"/>
          <w:sz w:val="24"/>
          <w:szCs w:val="24"/>
        </w:rPr>
      </w:pPr>
      <w:r w:rsidRPr="009132DA">
        <w:rPr>
          <w:rFonts w:asciiTheme="minorBidi" w:hAnsiTheme="minorBidi" w:cstheme="minorBidi"/>
          <w:sz w:val="24"/>
          <w:szCs w:val="24"/>
        </w:rPr>
        <w:tab/>
        <w:t xml:space="preserve">In a penetrating essay, Prof. Gerald </w:t>
      </w:r>
      <w:proofErr w:type="spellStart"/>
      <w:r w:rsidRPr="009132DA">
        <w:rPr>
          <w:rFonts w:asciiTheme="minorBidi" w:hAnsiTheme="minorBidi" w:cstheme="minorBidi"/>
          <w:sz w:val="24"/>
          <w:szCs w:val="24"/>
        </w:rPr>
        <w:t>Blidstein</w:t>
      </w:r>
      <w:proofErr w:type="spellEnd"/>
      <w:r w:rsidRPr="009132DA">
        <w:rPr>
          <w:rFonts w:asciiTheme="minorBidi" w:hAnsiTheme="minorBidi" w:cstheme="minorBidi"/>
          <w:sz w:val="24"/>
          <w:szCs w:val="24"/>
        </w:rPr>
        <w:t xml:space="preserve"> similarly notes that “the Jew of fate” in “</w:t>
      </w:r>
      <w:r w:rsidRPr="009132DA">
        <w:rPr>
          <w:rFonts w:asciiTheme="minorBidi" w:hAnsiTheme="minorBidi" w:cstheme="minorBidi"/>
          <w:i/>
          <w:iCs/>
          <w:sz w:val="24"/>
          <w:szCs w:val="24"/>
        </w:rPr>
        <w:t>Kol Dodi Dofek</w:t>
      </w:r>
      <w:r w:rsidRPr="009132DA">
        <w:rPr>
          <w:rFonts w:asciiTheme="minorBidi" w:hAnsiTheme="minorBidi" w:cstheme="minorBidi"/>
          <w:sz w:val="24"/>
          <w:szCs w:val="24"/>
        </w:rPr>
        <w:t xml:space="preserve">” “is largely defined by the historical role imposed on the people of Israel as objects of persecution” (“On the Jewish People in the Writings of Rabbi Joseph B. Soloveitchik,” in </w:t>
      </w:r>
      <w:r w:rsidRPr="009132DA">
        <w:rPr>
          <w:rFonts w:asciiTheme="minorBidi" w:hAnsiTheme="minorBidi" w:cstheme="minorBidi"/>
          <w:i/>
          <w:sz w:val="24"/>
          <w:szCs w:val="24"/>
        </w:rPr>
        <w:t>Exploring the Thought of Rabbi Joseph B. Soloveitchik</w:t>
      </w:r>
      <w:r w:rsidRPr="009132DA">
        <w:rPr>
          <w:rFonts w:asciiTheme="minorBidi" w:hAnsiTheme="minorBidi" w:cstheme="minorBidi"/>
          <w:iCs/>
          <w:sz w:val="24"/>
          <w:szCs w:val="24"/>
        </w:rPr>
        <w:t>,</w:t>
      </w:r>
      <w:r w:rsidRPr="009132DA">
        <w:rPr>
          <w:rFonts w:asciiTheme="minorBidi" w:hAnsiTheme="minorBidi" w:cstheme="minorBidi"/>
          <w:sz w:val="24"/>
          <w:szCs w:val="24"/>
        </w:rPr>
        <w:t xml:space="preserve"> 302).  Furthermore, the covenants of Egypt and Sinai in “</w:t>
      </w:r>
      <w:r w:rsidRPr="009132DA">
        <w:rPr>
          <w:rFonts w:asciiTheme="minorBidi" w:hAnsiTheme="minorBidi" w:cstheme="minorBidi"/>
          <w:i/>
          <w:iCs/>
          <w:sz w:val="24"/>
          <w:szCs w:val="24"/>
        </w:rPr>
        <w:t>Kol Dodi Dofek</w:t>
      </w:r>
      <w:r w:rsidRPr="009132DA">
        <w:rPr>
          <w:rFonts w:asciiTheme="minorBidi" w:hAnsiTheme="minorBidi" w:cstheme="minorBidi"/>
          <w:sz w:val="24"/>
          <w:szCs w:val="24"/>
        </w:rPr>
        <w:t>” are mutually complementary, but not from positions of equal standing:</w:t>
      </w:r>
    </w:p>
    <w:p w:rsidR="009132DA" w:rsidRPr="009132DA" w:rsidRDefault="009132DA" w:rsidP="005F2F9C">
      <w:pPr>
        <w:spacing w:after="0" w:line="240" w:lineRule="auto"/>
        <w:jc w:val="both"/>
        <w:rPr>
          <w:rFonts w:asciiTheme="minorBidi" w:hAnsiTheme="minorBidi" w:cstheme="minorBidi"/>
          <w:sz w:val="24"/>
          <w:szCs w:val="24"/>
        </w:rPr>
      </w:pPr>
    </w:p>
    <w:p w:rsidR="003F0354" w:rsidRDefault="003F0354" w:rsidP="005F2F9C">
      <w:pPr>
        <w:spacing w:after="0" w:line="240" w:lineRule="auto"/>
        <w:ind w:left="720"/>
        <w:jc w:val="both"/>
        <w:rPr>
          <w:rFonts w:asciiTheme="minorBidi" w:hAnsiTheme="minorBidi" w:cstheme="minorBidi"/>
          <w:sz w:val="24"/>
          <w:szCs w:val="24"/>
        </w:rPr>
      </w:pPr>
      <w:r w:rsidRPr="009132DA">
        <w:rPr>
          <w:rFonts w:asciiTheme="minorBidi" w:hAnsiTheme="minorBidi" w:cstheme="minorBidi"/>
          <w:sz w:val="24"/>
          <w:szCs w:val="24"/>
        </w:rPr>
        <w:t xml:space="preserve">Egypt and Sinai, the Jew of fate and the Jew of destiny and purpose, clearly reflect a hierarchical order.  Sinai will build on Egypt, and Jewish historical fate is a permanent feature of Jewish existence, but precious little in the way of Jewish values will emerge from the victimized identity of bondage…. Despite this positive appropriation of the Covenant of Fate and of the historic fact of Jewish peoplehood, there is also a deep </w:t>
      </w:r>
      <w:r w:rsidRPr="009132DA">
        <w:rPr>
          <w:rFonts w:asciiTheme="minorBidi" w:hAnsiTheme="minorBidi" w:cstheme="minorBidi"/>
          <w:sz w:val="24"/>
          <w:szCs w:val="24"/>
        </w:rPr>
        <w:lastRenderedPageBreak/>
        <w:t>ambivalence, or better, unease, which is only hinted at by these two disparate symbols of Egypt and Sinai.</w:t>
      </w:r>
      <w:r w:rsidRPr="009132DA">
        <w:rPr>
          <w:rStyle w:val="FootnoteReference"/>
          <w:rFonts w:asciiTheme="minorBidi" w:hAnsiTheme="minorBidi" w:cstheme="minorBidi"/>
          <w:sz w:val="24"/>
          <w:szCs w:val="24"/>
        </w:rPr>
        <w:footnoteReference w:id="2"/>
      </w:r>
      <w:r w:rsidR="00116E41">
        <w:rPr>
          <w:rFonts w:asciiTheme="minorBidi" w:hAnsiTheme="minorBidi" w:cstheme="minorBidi"/>
          <w:sz w:val="24"/>
          <w:szCs w:val="24"/>
        </w:rPr>
        <w:t xml:space="preserve"> </w:t>
      </w:r>
      <w:r w:rsidR="00116E41" w:rsidRPr="009132DA">
        <w:rPr>
          <w:rFonts w:asciiTheme="minorBidi" w:hAnsiTheme="minorBidi" w:cstheme="minorBidi"/>
          <w:sz w:val="24"/>
          <w:szCs w:val="24"/>
        </w:rPr>
        <w:t>(305-306)</w:t>
      </w:r>
    </w:p>
    <w:p w:rsidR="009132DA" w:rsidRPr="009132DA" w:rsidRDefault="009132DA" w:rsidP="005F2F9C">
      <w:pPr>
        <w:spacing w:after="0" w:line="240" w:lineRule="auto"/>
        <w:ind w:left="720"/>
        <w:jc w:val="both"/>
        <w:rPr>
          <w:rFonts w:asciiTheme="minorBidi" w:hAnsiTheme="minorBidi" w:cstheme="minorBidi"/>
          <w:sz w:val="24"/>
          <w:szCs w:val="24"/>
        </w:rPr>
      </w:pPr>
    </w:p>
    <w:p w:rsidR="003F0354" w:rsidRPr="009132DA" w:rsidRDefault="003F0354" w:rsidP="005F2F9C">
      <w:pPr>
        <w:spacing w:after="0" w:line="240" w:lineRule="auto"/>
        <w:ind w:firstLine="720"/>
        <w:jc w:val="both"/>
        <w:rPr>
          <w:rFonts w:asciiTheme="minorBidi" w:hAnsiTheme="minorBidi" w:cstheme="minorBidi"/>
          <w:sz w:val="24"/>
          <w:szCs w:val="24"/>
        </w:rPr>
      </w:pPr>
      <w:r w:rsidRPr="009132DA">
        <w:rPr>
          <w:rFonts w:asciiTheme="minorBidi" w:hAnsiTheme="minorBidi" w:cstheme="minorBidi"/>
          <w:sz w:val="24"/>
          <w:szCs w:val="24"/>
        </w:rPr>
        <w:t xml:space="preserve">Regarding Zionism, Prof. </w:t>
      </w:r>
      <w:proofErr w:type="spellStart"/>
      <w:r w:rsidRPr="009132DA">
        <w:rPr>
          <w:rFonts w:asciiTheme="minorBidi" w:hAnsiTheme="minorBidi" w:cstheme="minorBidi"/>
          <w:sz w:val="24"/>
          <w:szCs w:val="24"/>
        </w:rPr>
        <w:t>Blidstein</w:t>
      </w:r>
      <w:proofErr w:type="spellEnd"/>
      <w:r w:rsidRPr="009132DA">
        <w:rPr>
          <w:rFonts w:asciiTheme="minorBidi" w:hAnsiTheme="minorBidi" w:cstheme="minorBidi"/>
          <w:sz w:val="24"/>
          <w:szCs w:val="24"/>
        </w:rPr>
        <w:t xml:space="preserve"> notes that the covenant of fate focuses on “the Jew as victim,” so that “it is almost as though the moving force behind ‘</w:t>
      </w:r>
      <w:r w:rsidRPr="009132DA">
        <w:rPr>
          <w:rFonts w:asciiTheme="minorBidi" w:hAnsiTheme="minorBidi" w:cstheme="minorBidi"/>
          <w:i/>
          <w:iCs/>
          <w:sz w:val="24"/>
          <w:szCs w:val="24"/>
        </w:rPr>
        <w:t>Kol Dodi Dofek</w:t>
      </w:r>
      <w:r w:rsidRPr="009132DA">
        <w:rPr>
          <w:rFonts w:asciiTheme="minorBidi" w:hAnsiTheme="minorBidi" w:cstheme="minorBidi"/>
          <w:sz w:val="24"/>
          <w:szCs w:val="24"/>
        </w:rPr>
        <w:t>,’ then, is the Holocaust and only secondarily the declaration of the State of Israel” (304)</w:t>
      </w:r>
      <w:r w:rsidR="00116E41">
        <w:rPr>
          <w:rFonts w:asciiTheme="minorBidi" w:hAnsiTheme="minorBidi" w:cstheme="minorBidi"/>
          <w:sz w:val="24"/>
          <w:szCs w:val="24"/>
        </w:rPr>
        <w:t>.</w:t>
      </w:r>
      <w:r w:rsidRPr="009132DA">
        <w:rPr>
          <w:rFonts w:asciiTheme="minorBidi" w:hAnsiTheme="minorBidi" w:cstheme="minorBidi"/>
          <w:sz w:val="24"/>
          <w:szCs w:val="24"/>
        </w:rPr>
        <w:t xml:space="preserve">  In “</w:t>
      </w:r>
      <w:r w:rsidRPr="009132DA">
        <w:rPr>
          <w:rFonts w:asciiTheme="minorBidi" w:hAnsiTheme="minorBidi" w:cstheme="minorBidi"/>
          <w:i/>
          <w:iCs/>
          <w:sz w:val="24"/>
          <w:szCs w:val="24"/>
        </w:rPr>
        <w:t>Kol Dodi Dofek</w:t>
      </w:r>
      <w:r w:rsidRPr="009132DA">
        <w:rPr>
          <w:rFonts w:asciiTheme="minorBidi" w:hAnsiTheme="minorBidi" w:cstheme="minorBidi"/>
          <w:sz w:val="24"/>
          <w:szCs w:val="24"/>
        </w:rPr>
        <w:t xml:space="preserve">,” American Jewry is encouraged to support Israel out of empathy for other Jews and out of a vision for adding destiny to fate, but not out of </w:t>
      </w:r>
      <w:r w:rsidR="006B3D11" w:rsidRPr="009132DA">
        <w:rPr>
          <w:rFonts w:asciiTheme="minorBidi" w:hAnsiTheme="minorBidi" w:cstheme="minorBidi"/>
          <w:sz w:val="24"/>
          <w:szCs w:val="24"/>
        </w:rPr>
        <w:t xml:space="preserve">a </w:t>
      </w:r>
      <w:r w:rsidRPr="009132DA">
        <w:rPr>
          <w:rFonts w:asciiTheme="minorBidi" w:hAnsiTheme="minorBidi" w:cstheme="minorBidi"/>
          <w:sz w:val="24"/>
          <w:szCs w:val="24"/>
        </w:rPr>
        <w:t>common purpose shared with secular Zionists of building a Jewish country.</w:t>
      </w:r>
      <w:r w:rsidRPr="009132DA">
        <w:rPr>
          <w:rStyle w:val="FootnoteReference"/>
          <w:rFonts w:asciiTheme="minorBidi" w:hAnsiTheme="minorBidi" w:cstheme="minorBidi"/>
          <w:sz w:val="24"/>
          <w:szCs w:val="24"/>
        </w:rPr>
        <w:footnoteReference w:id="3"/>
      </w:r>
      <w:r w:rsidRPr="009132DA">
        <w:rPr>
          <w:rFonts w:asciiTheme="minorBidi" w:hAnsiTheme="minorBidi" w:cstheme="minorBidi"/>
          <w:sz w:val="24"/>
          <w:szCs w:val="24"/>
        </w:rPr>
        <w:t xml:space="preserve"> </w:t>
      </w:r>
    </w:p>
    <w:p w:rsidR="00BA5BC7" w:rsidRPr="009132DA" w:rsidRDefault="00BA5BC7" w:rsidP="005F2F9C">
      <w:pPr>
        <w:spacing w:after="0" w:line="240" w:lineRule="auto"/>
        <w:ind w:firstLine="720"/>
        <w:jc w:val="both"/>
        <w:rPr>
          <w:rFonts w:asciiTheme="minorBidi" w:hAnsiTheme="minorBidi" w:cstheme="minorBidi"/>
          <w:sz w:val="24"/>
          <w:szCs w:val="24"/>
        </w:rPr>
      </w:pPr>
    </w:p>
    <w:p w:rsidR="00BA5BC7" w:rsidRDefault="00BA5BC7" w:rsidP="005F2F9C">
      <w:pPr>
        <w:spacing w:after="0" w:line="240" w:lineRule="auto"/>
        <w:jc w:val="both"/>
        <w:rPr>
          <w:rFonts w:asciiTheme="minorBidi" w:hAnsiTheme="minorBidi" w:cstheme="minorBidi"/>
          <w:b/>
          <w:bCs/>
          <w:sz w:val="24"/>
          <w:szCs w:val="24"/>
        </w:rPr>
      </w:pPr>
      <w:r w:rsidRPr="009132DA">
        <w:rPr>
          <w:rFonts w:asciiTheme="minorBidi" w:hAnsiTheme="minorBidi" w:cstheme="minorBidi"/>
          <w:b/>
          <w:bCs/>
          <w:sz w:val="24"/>
          <w:szCs w:val="24"/>
        </w:rPr>
        <w:t>Conclusion</w:t>
      </w:r>
    </w:p>
    <w:p w:rsidR="009132DA" w:rsidRPr="009132DA" w:rsidRDefault="009132DA" w:rsidP="005F2F9C">
      <w:pPr>
        <w:spacing w:after="0" w:line="240" w:lineRule="auto"/>
        <w:jc w:val="both"/>
        <w:rPr>
          <w:rFonts w:asciiTheme="minorBidi" w:hAnsiTheme="minorBidi" w:cstheme="minorBidi"/>
          <w:b/>
          <w:bCs/>
          <w:sz w:val="24"/>
          <w:szCs w:val="24"/>
        </w:rPr>
      </w:pPr>
    </w:p>
    <w:p w:rsidR="002857E4" w:rsidRPr="009132DA" w:rsidRDefault="003F0354" w:rsidP="005F2F9C">
      <w:pPr>
        <w:spacing w:after="0" w:line="240" w:lineRule="auto"/>
        <w:jc w:val="both"/>
        <w:rPr>
          <w:rFonts w:asciiTheme="minorBidi" w:hAnsiTheme="minorBidi" w:cstheme="minorBidi"/>
          <w:sz w:val="24"/>
          <w:szCs w:val="24"/>
        </w:rPr>
      </w:pPr>
      <w:r w:rsidRPr="009132DA">
        <w:rPr>
          <w:rFonts w:asciiTheme="minorBidi" w:hAnsiTheme="minorBidi" w:cstheme="minorBidi"/>
          <w:sz w:val="24"/>
          <w:szCs w:val="24"/>
        </w:rPr>
        <w:tab/>
        <w:t xml:space="preserve">In summary, </w:t>
      </w:r>
      <w:r w:rsidRPr="009132DA">
        <w:rPr>
          <w:rFonts w:asciiTheme="minorBidi" w:hAnsiTheme="minorBidi" w:cstheme="minorBidi"/>
          <w:i/>
          <w:iCs/>
          <w:sz w:val="24"/>
          <w:szCs w:val="24"/>
        </w:rPr>
        <w:t>berit Avot</w:t>
      </w:r>
      <w:r w:rsidRPr="009132DA">
        <w:rPr>
          <w:rFonts w:asciiTheme="minorBidi" w:hAnsiTheme="minorBidi" w:cstheme="minorBidi"/>
          <w:sz w:val="24"/>
          <w:szCs w:val="24"/>
        </w:rPr>
        <w:t xml:space="preserve">, as it appears in R. Soloveitchik’s published comments on Zionism, certainly broadens the contemporary, committed Jew’s religious mandate, but only in a </w:t>
      </w:r>
      <w:r w:rsidR="00662C18" w:rsidRPr="009132DA">
        <w:rPr>
          <w:rFonts w:asciiTheme="minorBidi" w:hAnsiTheme="minorBidi" w:cstheme="minorBidi"/>
          <w:sz w:val="24"/>
          <w:szCs w:val="24"/>
        </w:rPr>
        <w:t>certain</w:t>
      </w:r>
      <w:r w:rsidRPr="009132DA">
        <w:rPr>
          <w:rFonts w:asciiTheme="minorBidi" w:hAnsiTheme="minorBidi" w:cstheme="minorBidi"/>
          <w:sz w:val="24"/>
          <w:szCs w:val="24"/>
        </w:rPr>
        <w:t xml:space="preserve"> context and </w:t>
      </w:r>
      <w:r w:rsidR="00662C18" w:rsidRPr="009132DA">
        <w:rPr>
          <w:rFonts w:asciiTheme="minorBidi" w:hAnsiTheme="minorBidi" w:cstheme="minorBidi"/>
          <w:sz w:val="24"/>
          <w:szCs w:val="24"/>
        </w:rPr>
        <w:t>to a limited degree</w:t>
      </w:r>
      <w:r w:rsidRPr="009132DA">
        <w:rPr>
          <w:rFonts w:asciiTheme="minorBidi" w:hAnsiTheme="minorBidi" w:cstheme="minorBidi"/>
          <w:sz w:val="24"/>
          <w:szCs w:val="24"/>
        </w:rPr>
        <w:t>.  I am not at all certain that this fully captures R. Soloveitchik’s relation to Jewish peoplehood,</w:t>
      </w:r>
      <w:r w:rsidRPr="009132DA">
        <w:rPr>
          <w:rStyle w:val="FootnoteReference"/>
          <w:rFonts w:asciiTheme="minorBidi" w:hAnsiTheme="minorBidi" w:cstheme="minorBidi"/>
          <w:sz w:val="24"/>
          <w:szCs w:val="24"/>
        </w:rPr>
        <w:footnoteReference w:id="4"/>
      </w:r>
      <w:r w:rsidRPr="009132DA">
        <w:rPr>
          <w:rFonts w:asciiTheme="minorBidi" w:hAnsiTheme="minorBidi" w:cstheme="minorBidi"/>
          <w:sz w:val="24"/>
          <w:szCs w:val="24"/>
        </w:rPr>
        <w:t xml:space="preserve"> and it is conceivable that he, too, would afford it more positive content.</w:t>
      </w:r>
      <w:r w:rsidRPr="009132DA">
        <w:rPr>
          <w:rStyle w:val="FootnoteReference"/>
          <w:rFonts w:asciiTheme="minorBidi" w:hAnsiTheme="minorBidi" w:cstheme="minorBidi"/>
          <w:sz w:val="24"/>
          <w:szCs w:val="24"/>
        </w:rPr>
        <w:footnoteReference w:id="5"/>
      </w:r>
      <w:r w:rsidRPr="009132DA">
        <w:rPr>
          <w:rFonts w:asciiTheme="minorBidi" w:hAnsiTheme="minorBidi" w:cstheme="minorBidi"/>
          <w:sz w:val="24"/>
          <w:szCs w:val="24"/>
        </w:rPr>
        <w:t xml:space="preserve">  With or without </w:t>
      </w:r>
      <w:r w:rsidR="00BC51E7">
        <w:rPr>
          <w:rFonts w:asciiTheme="minorBidi" w:hAnsiTheme="minorBidi" w:cstheme="minorBidi"/>
          <w:sz w:val="24"/>
          <w:szCs w:val="24"/>
        </w:rPr>
        <w:t>R. Soloveitchik’s</w:t>
      </w:r>
      <w:r w:rsidR="00BC51E7" w:rsidRPr="009132DA">
        <w:rPr>
          <w:rFonts w:asciiTheme="minorBidi" w:hAnsiTheme="minorBidi" w:cstheme="minorBidi"/>
          <w:sz w:val="24"/>
          <w:szCs w:val="24"/>
        </w:rPr>
        <w:t xml:space="preserve"> </w:t>
      </w:r>
      <w:r w:rsidRPr="009132DA">
        <w:rPr>
          <w:rFonts w:asciiTheme="minorBidi" w:hAnsiTheme="minorBidi" w:cstheme="minorBidi"/>
          <w:sz w:val="24"/>
          <w:szCs w:val="24"/>
        </w:rPr>
        <w:t xml:space="preserve">outright endorsement, though, can we </w:t>
      </w:r>
      <w:r w:rsidRPr="009132DA">
        <w:rPr>
          <w:rFonts w:asciiTheme="minorBidi" w:hAnsiTheme="minorBidi" w:cstheme="minorBidi"/>
          <w:sz w:val="24"/>
          <w:szCs w:val="24"/>
        </w:rPr>
        <w:lastRenderedPageBreak/>
        <w:t xml:space="preserve">push the envelope further?  In light of our own analysis of </w:t>
      </w:r>
      <w:r w:rsidRPr="009132DA">
        <w:rPr>
          <w:rFonts w:asciiTheme="minorBidi" w:hAnsiTheme="minorBidi" w:cstheme="minorBidi"/>
          <w:i/>
          <w:iCs/>
          <w:sz w:val="24"/>
          <w:szCs w:val="24"/>
        </w:rPr>
        <w:t xml:space="preserve">berit Avot </w:t>
      </w:r>
      <w:r w:rsidRPr="009132DA">
        <w:rPr>
          <w:rFonts w:asciiTheme="minorBidi" w:hAnsiTheme="minorBidi" w:cstheme="minorBidi"/>
          <w:sz w:val="24"/>
          <w:szCs w:val="24"/>
        </w:rPr>
        <w:t>that builds upon R. Soloveitchik’s core framework, can we define a</w:t>
      </w:r>
      <w:r w:rsidR="00BA5BC7" w:rsidRPr="009132DA">
        <w:rPr>
          <w:rFonts w:asciiTheme="minorBidi" w:hAnsiTheme="minorBidi" w:cstheme="minorBidi"/>
          <w:sz w:val="24"/>
          <w:szCs w:val="24"/>
        </w:rPr>
        <w:t>n ambitious,</w:t>
      </w:r>
      <w:r w:rsidRPr="009132DA">
        <w:rPr>
          <w:rFonts w:asciiTheme="minorBidi" w:hAnsiTheme="minorBidi" w:cstheme="minorBidi"/>
          <w:sz w:val="24"/>
          <w:szCs w:val="24"/>
        </w:rPr>
        <w:t xml:space="preserve"> common agenda for “Jewish peoplehood” that is neither captured by nor depends upon </w:t>
      </w:r>
      <w:r w:rsidRPr="009132DA">
        <w:rPr>
          <w:rFonts w:asciiTheme="minorBidi" w:hAnsiTheme="minorBidi" w:cstheme="minorBidi"/>
          <w:i/>
          <w:iCs/>
          <w:sz w:val="24"/>
          <w:szCs w:val="24"/>
        </w:rPr>
        <w:t>berit Sinai</w:t>
      </w:r>
      <w:r w:rsidRPr="009132DA">
        <w:rPr>
          <w:rFonts w:asciiTheme="minorBidi" w:hAnsiTheme="minorBidi" w:cstheme="minorBidi"/>
          <w:sz w:val="24"/>
          <w:szCs w:val="24"/>
        </w:rPr>
        <w:t>?</w:t>
      </w:r>
      <w:r w:rsidR="00BA5BC7" w:rsidRPr="009132DA">
        <w:rPr>
          <w:rFonts w:asciiTheme="minorBidi" w:hAnsiTheme="minorBidi" w:cstheme="minorBidi"/>
          <w:sz w:val="24"/>
          <w:szCs w:val="24"/>
        </w:rPr>
        <w:t xml:space="preserve">  We will take up this challenge in the </w:t>
      </w:r>
      <w:r w:rsidR="008A6782" w:rsidRPr="009132DA">
        <w:rPr>
          <w:rFonts w:asciiTheme="minorBidi" w:hAnsiTheme="minorBidi" w:cstheme="minorBidi"/>
          <w:sz w:val="24"/>
          <w:szCs w:val="24"/>
        </w:rPr>
        <w:t xml:space="preserve">next </w:t>
      </w:r>
      <w:r w:rsidR="00BA5BC7" w:rsidRPr="009132DA">
        <w:rPr>
          <w:rFonts w:asciiTheme="minorBidi" w:hAnsiTheme="minorBidi" w:cstheme="minorBidi"/>
          <w:i/>
          <w:iCs/>
          <w:sz w:val="24"/>
          <w:szCs w:val="24"/>
        </w:rPr>
        <w:t>shiur</w:t>
      </w:r>
      <w:r w:rsidR="00BA5BC7" w:rsidRPr="009132DA">
        <w:rPr>
          <w:rFonts w:asciiTheme="minorBidi" w:hAnsiTheme="minorBidi" w:cstheme="minorBidi"/>
          <w:sz w:val="24"/>
          <w:szCs w:val="24"/>
        </w:rPr>
        <w:t>.</w:t>
      </w:r>
    </w:p>
    <w:p w:rsidR="009132DA" w:rsidRPr="009132DA" w:rsidRDefault="009132DA" w:rsidP="005F2F9C">
      <w:pPr>
        <w:spacing w:after="0" w:line="240" w:lineRule="auto"/>
        <w:jc w:val="both"/>
        <w:rPr>
          <w:rFonts w:asciiTheme="minorBidi" w:hAnsiTheme="minorBidi" w:cstheme="minorBidi"/>
          <w:sz w:val="24"/>
          <w:szCs w:val="24"/>
        </w:rPr>
      </w:pPr>
    </w:p>
    <w:sectPr w:rsidR="009132DA" w:rsidRPr="009132DA" w:rsidSect="009132DA">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98" w:rsidRDefault="008B2998" w:rsidP="003F0354">
      <w:pPr>
        <w:spacing w:after="0" w:line="240" w:lineRule="auto"/>
      </w:pPr>
      <w:r>
        <w:separator/>
      </w:r>
    </w:p>
  </w:endnote>
  <w:endnote w:type="continuationSeparator" w:id="0">
    <w:p w:rsidR="008B2998" w:rsidRDefault="008B2998" w:rsidP="003F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98" w:rsidRDefault="008B2998" w:rsidP="003F0354">
      <w:pPr>
        <w:spacing w:after="0" w:line="240" w:lineRule="auto"/>
      </w:pPr>
      <w:r>
        <w:separator/>
      </w:r>
    </w:p>
  </w:footnote>
  <w:footnote w:type="continuationSeparator" w:id="0">
    <w:p w:rsidR="008B2998" w:rsidRDefault="008B2998" w:rsidP="003F0354">
      <w:pPr>
        <w:spacing w:after="0" w:line="240" w:lineRule="auto"/>
      </w:pPr>
      <w:r>
        <w:continuationSeparator/>
      </w:r>
    </w:p>
  </w:footnote>
  <w:footnote w:id="1">
    <w:p w:rsidR="003F0354" w:rsidRPr="009132DA" w:rsidRDefault="003F0354" w:rsidP="001C56E0">
      <w:pPr>
        <w:pStyle w:val="FootnoteText"/>
        <w:spacing w:line="360" w:lineRule="auto"/>
        <w:jc w:val="both"/>
        <w:rPr>
          <w:rFonts w:asciiTheme="minorBidi" w:hAnsiTheme="minorBidi" w:cstheme="minorBidi"/>
        </w:rPr>
      </w:pPr>
      <w:r w:rsidRPr="009132DA">
        <w:rPr>
          <w:rStyle w:val="FootnoteReference"/>
          <w:rFonts w:asciiTheme="minorBidi" w:hAnsiTheme="minorBidi" w:cstheme="minorBidi"/>
        </w:rPr>
        <w:footnoteRef/>
      </w:r>
      <w:r w:rsidR="006B3D11" w:rsidRPr="009132DA">
        <w:rPr>
          <w:rFonts w:asciiTheme="minorBidi" w:hAnsiTheme="minorBidi" w:cstheme="minorBidi"/>
        </w:rPr>
        <w:t xml:space="preserve"> Regarding R. Solovei</w:t>
      </w:r>
      <w:r w:rsidRPr="009132DA">
        <w:rPr>
          <w:rFonts w:asciiTheme="minorBidi" w:hAnsiTheme="minorBidi" w:cstheme="minorBidi"/>
        </w:rPr>
        <w:t xml:space="preserve">tchik’s </w:t>
      </w:r>
      <w:r w:rsidR="006B3D11" w:rsidRPr="009132DA">
        <w:rPr>
          <w:rFonts w:asciiTheme="minorBidi" w:hAnsiTheme="minorBidi" w:cstheme="minorBidi"/>
        </w:rPr>
        <w:t xml:space="preserve">general </w:t>
      </w:r>
      <w:r w:rsidRPr="009132DA">
        <w:rPr>
          <w:rFonts w:asciiTheme="minorBidi" w:hAnsiTheme="minorBidi" w:cstheme="minorBidi"/>
        </w:rPr>
        <w:t>position</w:t>
      </w:r>
      <w:r w:rsidR="006B3D11" w:rsidRPr="009132DA">
        <w:rPr>
          <w:rFonts w:asciiTheme="minorBidi" w:hAnsiTheme="minorBidi" w:cstheme="minorBidi"/>
        </w:rPr>
        <w:t xml:space="preserve"> about cooperation with the non-Orthodox</w:t>
      </w:r>
      <w:r w:rsidRPr="009132DA">
        <w:rPr>
          <w:rFonts w:asciiTheme="minorBidi" w:hAnsiTheme="minorBidi" w:cstheme="minorBidi"/>
        </w:rPr>
        <w:t>, see p. 148, including note #31.</w:t>
      </w:r>
    </w:p>
  </w:footnote>
  <w:footnote w:id="2">
    <w:p w:rsidR="003F0354" w:rsidRPr="009132DA" w:rsidRDefault="003F0354" w:rsidP="001C56E0">
      <w:pPr>
        <w:pStyle w:val="FootnoteText"/>
        <w:spacing w:line="360" w:lineRule="auto"/>
        <w:jc w:val="both"/>
        <w:rPr>
          <w:rFonts w:asciiTheme="minorBidi" w:hAnsiTheme="minorBidi" w:cstheme="minorBidi"/>
        </w:rPr>
      </w:pPr>
      <w:r w:rsidRPr="009132DA">
        <w:rPr>
          <w:rStyle w:val="FootnoteReference"/>
          <w:rFonts w:asciiTheme="minorBidi" w:hAnsiTheme="minorBidi" w:cstheme="minorBidi"/>
        </w:rPr>
        <w:footnoteRef/>
      </w:r>
      <w:r w:rsidRPr="009132DA">
        <w:rPr>
          <w:rFonts w:asciiTheme="minorBidi" w:hAnsiTheme="minorBidi" w:cstheme="minorBidi"/>
        </w:rPr>
        <w:t xml:space="preserve"> R. Ziegler also references Prof. </w:t>
      </w:r>
      <w:proofErr w:type="spellStart"/>
      <w:r w:rsidRPr="009132DA">
        <w:rPr>
          <w:rFonts w:asciiTheme="minorBidi" w:hAnsiTheme="minorBidi" w:cstheme="minorBidi"/>
        </w:rPr>
        <w:t>Blidstein’s</w:t>
      </w:r>
      <w:proofErr w:type="spellEnd"/>
      <w:r w:rsidRPr="009132DA">
        <w:rPr>
          <w:rFonts w:asciiTheme="minorBidi" w:hAnsiTheme="minorBidi" w:cstheme="minorBidi"/>
        </w:rPr>
        <w:t xml:space="preserve"> critique (296), with regard to R. Soloveitchik’s particular vision for the State of Israel. </w:t>
      </w:r>
    </w:p>
  </w:footnote>
  <w:footnote w:id="3">
    <w:p w:rsidR="003F0354" w:rsidRPr="009132DA" w:rsidRDefault="003F0354" w:rsidP="001C56E0">
      <w:pPr>
        <w:pStyle w:val="FootnoteText"/>
        <w:spacing w:line="360" w:lineRule="auto"/>
        <w:jc w:val="both"/>
        <w:rPr>
          <w:rFonts w:asciiTheme="minorBidi" w:hAnsiTheme="minorBidi" w:cstheme="minorBidi"/>
        </w:rPr>
      </w:pPr>
      <w:r w:rsidRPr="009132DA">
        <w:rPr>
          <w:rStyle w:val="FootnoteReference"/>
          <w:rFonts w:asciiTheme="minorBidi" w:hAnsiTheme="minorBidi" w:cstheme="minorBidi"/>
        </w:rPr>
        <w:footnoteRef/>
      </w:r>
      <w:r w:rsidRPr="009132DA">
        <w:rPr>
          <w:rFonts w:asciiTheme="minorBidi" w:hAnsiTheme="minorBidi" w:cstheme="minorBidi"/>
        </w:rPr>
        <w:t xml:space="preserve"> In closing, R. Soloveitchik asks, “What should be the relationship of religious Zionism to its secular counterpart?” (81)  The answer that emerges from the end of the essay is that the former should replace the latter, rather than absorb </w:t>
      </w:r>
      <w:r w:rsidR="001154A7" w:rsidRPr="009132DA">
        <w:rPr>
          <w:rFonts w:asciiTheme="minorBidi" w:hAnsiTheme="minorBidi" w:cstheme="minorBidi"/>
        </w:rPr>
        <w:t>any of its ideology</w:t>
      </w:r>
      <w:r w:rsidR="00662C18" w:rsidRPr="009132DA">
        <w:rPr>
          <w:rFonts w:asciiTheme="minorBidi" w:hAnsiTheme="minorBidi" w:cstheme="minorBidi"/>
        </w:rPr>
        <w:t>:  “Only religious Zionism with its traditional and authentic perception has the power to ‘repair the perverted’ (Ecclesiastes 1:15)” (84)</w:t>
      </w:r>
      <w:r w:rsidRPr="009132DA">
        <w:rPr>
          <w:rFonts w:asciiTheme="minorBidi" w:hAnsiTheme="minorBidi" w:cstheme="minorBidi"/>
        </w:rPr>
        <w:t>.  In “</w:t>
      </w:r>
      <w:r w:rsidRPr="009132DA">
        <w:rPr>
          <w:rFonts w:asciiTheme="minorBidi" w:hAnsiTheme="minorBidi" w:cstheme="minorBidi"/>
          <w:i/>
          <w:iCs/>
        </w:rPr>
        <w:t>Kol Dodi Dofek</w:t>
      </w:r>
      <w:r w:rsidRPr="009132DA">
        <w:rPr>
          <w:rFonts w:asciiTheme="minorBidi" w:hAnsiTheme="minorBidi" w:cstheme="minorBidi"/>
        </w:rPr>
        <w:t xml:space="preserve">,” the secular Zionist leadership is as bereft of the “fate” experience as that of “destiny.”  Prof. </w:t>
      </w:r>
      <w:proofErr w:type="spellStart"/>
      <w:r w:rsidRPr="009132DA">
        <w:rPr>
          <w:rFonts w:asciiTheme="minorBidi" w:hAnsiTheme="minorBidi" w:cstheme="minorBidi"/>
        </w:rPr>
        <w:t>Blidstein</w:t>
      </w:r>
      <w:proofErr w:type="spellEnd"/>
      <w:r w:rsidRPr="009132DA">
        <w:rPr>
          <w:rFonts w:asciiTheme="minorBidi" w:hAnsiTheme="minorBidi" w:cstheme="minorBidi"/>
        </w:rPr>
        <w:t xml:space="preserve"> notes similar, hostile stances present in R. Soloveitchik’s published </w:t>
      </w:r>
      <w:r w:rsidR="006B3D11" w:rsidRPr="009132DA">
        <w:rPr>
          <w:rFonts w:asciiTheme="minorBidi" w:hAnsiTheme="minorBidi" w:cstheme="minorBidi"/>
        </w:rPr>
        <w:t>addresses</w:t>
      </w:r>
      <w:r w:rsidRPr="009132DA">
        <w:rPr>
          <w:rFonts w:asciiTheme="minorBidi" w:hAnsiTheme="minorBidi" w:cstheme="minorBidi"/>
        </w:rPr>
        <w:t xml:space="preserve"> </w:t>
      </w:r>
      <w:r w:rsidR="006B3D11" w:rsidRPr="009132DA">
        <w:rPr>
          <w:rFonts w:asciiTheme="minorBidi" w:hAnsiTheme="minorBidi" w:cstheme="minorBidi"/>
        </w:rPr>
        <w:t xml:space="preserve">to </w:t>
      </w:r>
      <w:proofErr w:type="spellStart"/>
      <w:r w:rsidRPr="009132DA">
        <w:rPr>
          <w:rFonts w:asciiTheme="minorBidi" w:hAnsiTheme="minorBidi" w:cstheme="minorBidi"/>
        </w:rPr>
        <w:t>Mizrachi</w:t>
      </w:r>
      <w:proofErr w:type="spellEnd"/>
      <w:r w:rsidRPr="009132DA">
        <w:rPr>
          <w:rFonts w:asciiTheme="minorBidi" w:hAnsiTheme="minorBidi" w:cstheme="minorBidi"/>
        </w:rPr>
        <w:t xml:space="preserve"> conventions (306-307).</w:t>
      </w:r>
    </w:p>
  </w:footnote>
  <w:footnote w:id="4">
    <w:p w:rsidR="003F0354" w:rsidRPr="009132DA" w:rsidRDefault="003F0354" w:rsidP="001C56E0">
      <w:pPr>
        <w:pStyle w:val="FootnoteText"/>
        <w:spacing w:line="360" w:lineRule="auto"/>
        <w:jc w:val="both"/>
        <w:rPr>
          <w:rFonts w:asciiTheme="minorBidi" w:hAnsiTheme="minorBidi" w:cstheme="minorBidi"/>
        </w:rPr>
      </w:pPr>
      <w:r w:rsidRPr="009132DA">
        <w:rPr>
          <w:rStyle w:val="FootnoteReference"/>
          <w:rFonts w:asciiTheme="minorBidi" w:hAnsiTheme="minorBidi" w:cstheme="minorBidi"/>
        </w:rPr>
        <w:footnoteRef/>
      </w:r>
      <w:r w:rsidRPr="009132DA">
        <w:rPr>
          <w:rFonts w:asciiTheme="minorBidi" w:hAnsiTheme="minorBidi" w:cstheme="minorBidi"/>
        </w:rPr>
        <w:t xml:space="preserve"> In analyzing R. Soloveitchik’s ideology, I have admittedly limited myself to his published material, out of both a lack of personal exposure to the Rav and a desire to work off of a verifiable record.  The possibility of a gap between </w:t>
      </w:r>
      <w:r w:rsidR="00681A67" w:rsidRPr="009132DA">
        <w:rPr>
          <w:rFonts w:asciiTheme="minorBidi" w:hAnsiTheme="minorBidi" w:cstheme="minorBidi"/>
        </w:rPr>
        <w:t xml:space="preserve">oral or written statements </w:t>
      </w:r>
      <w:r w:rsidRPr="009132DA">
        <w:rPr>
          <w:rFonts w:asciiTheme="minorBidi" w:hAnsiTheme="minorBidi" w:cstheme="minorBidi"/>
        </w:rPr>
        <w:t xml:space="preserve">and </w:t>
      </w:r>
      <w:r w:rsidR="00681A67" w:rsidRPr="009132DA">
        <w:rPr>
          <w:rFonts w:asciiTheme="minorBidi" w:hAnsiTheme="minorBidi" w:cstheme="minorBidi"/>
        </w:rPr>
        <w:t xml:space="preserve">actual conduct </w:t>
      </w:r>
      <w:r w:rsidRPr="009132DA">
        <w:rPr>
          <w:rFonts w:asciiTheme="minorBidi" w:hAnsiTheme="minorBidi" w:cstheme="minorBidi"/>
        </w:rPr>
        <w:t xml:space="preserve">is not lost upon me, and in this context I note the following comment by R. Lichtenstein:  “If pressed to consider, for instance, the lives and thought of Rav Kook and the Rav, respectively, I believe, it would be fair to conclude that, while perhaps neither was thoroughly consistent, Rav Kook was,  philosophically, far more tolerant but, as a public figure, tolerated less; the reverse was true of the Rav” (“The Parameters of Tolerance,” </w:t>
      </w:r>
      <w:r w:rsidRPr="009132DA">
        <w:rPr>
          <w:rFonts w:asciiTheme="minorBidi" w:hAnsiTheme="minorBidi" w:cstheme="minorBidi"/>
          <w:i/>
          <w:iCs/>
        </w:rPr>
        <w:t>Leaves of Faith:  The World of Jewish Living</w:t>
      </w:r>
      <w:r w:rsidRPr="009132DA">
        <w:rPr>
          <w:rFonts w:asciiTheme="minorBidi" w:hAnsiTheme="minorBidi" w:cstheme="minorBidi"/>
        </w:rPr>
        <w:t>, 113).</w:t>
      </w:r>
    </w:p>
  </w:footnote>
  <w:footnote w:id="5">
    <w:p w:rsidR="003F0354" w:rsidRPr="009132DA" w:rsidRDefault="003F0354" w:rsidP="001C56E0">
      <w:pPr>
        <w:pStyle w:val="FootnoteText"/>
        <w:spacing w:line="360" w:lineRule="auto"/>
        <w:jc w:val="both"/>
        <w:rPr>
          <w:rFonts w:asciiTheme="minorBidi" w:hAnsiTheme="minorBidi" w:cstheme="minorBidi"/>
        </w:rPr>
      </w:pPr>
      <w:r w:rsidRPr="009132DA">
        <w:rPr>
          <w:rStyle w:val="FootnoteReference"/>
          <w:rFonts w:asciiTheme="minorBidi" w:hAnsiTheme="minorBidi" w:cstheme="minorBidi"/>
        </w:rPr>
        <w:footnoteRef/>
      </w:r>
      <w:r w:rsidRPr="009132DA">
        <w:rPr>
          <w:rFonts w:asciiTheme="minorBidi" w:hAnsiTheme="minorBidi" w:cstheme="minorBidi"/>
        </w:rPr>
        <w:t xml:space="preserve"> </w:t>
      </w:r>
      <w:r w:rsidR="00681A67" w:rsidRPr="009132DA">
        <w:rPr>
          <w:rFonts w:asciiTheme="minorBidi" w:hAnsiTheme="minorBidi" w:cstheme="minorBidi"/>
        </w:rPr>
        <w:t>When I d</w:t>
      </w:r>
      <w:r w:rsidRPr="009132DA">
        <w:rPr>
          <w:rFonts w:asciiTheme="minorBidi" w:hAnsiTheme="minorBidi" w:cstheme="minorBidi"/>
        </w:rPr>
        <w:t>iscuss</w:t>
      </w:r>
      <w:r w:rsidR="00681A67" w:rsidRPr="009132DA">
        <w:rPr>
          <w:rFonts w:asciiTheme="minorBidi" w:hAnsiTheme="minorBidi" w:cstheme="minorBidi"/>
        </w:rPr>
        <w:t>ed</w:t>
      </w:r>
      <w:r w:rsidRPr="009132DA">
        <w:rPr>
          <w:rFonts w:asciiTheme="minorBidi" w:hAnsiTheme="minorBidi" w:cstheme="minorBidi"/>
        </w:rPr>
        <w:t xml:space="preserve"> “</w:t>
      </w:r>
      <w:r w:rsidRPr="009132DA">
        <w:rPr>
          <w:rFonts w:asciiTheme="minorBidi" w:hAnsiTheme="minorBidi" w:cstheme="minorBidi"/>
          <w:i/>
          <w:iCs/>
        </w:rPr>
        <w:t>Kol Dodi Dofek</w:t>
      </w:r>
      <w:r w:rsidRPr="009132DA">
        <w:rPr>
          <w:rFonts w:asciiTheme="minorBidi" w:hAnsiTheme="minorBidi" w:cstheme="minorBidi"/>
        </w:rPr>
        <w:t xml:space="preserve">” with </w:t>
      </w:r>
      <w:r w:rsidRPr="009132DA">
        <w:rPr>
          <w:rFonts w:asciiTheme="minorBidi" w:hAnsiTheme="minorBidi" w:cstheme="minorBidi"/>
          <w:i/>
          <w:iCs/>
        </w:rPr>
        <w:t>mori ve-rabbi</w:t>
      </w:r>
      <w:r w:rsidRPr="009132DA">
        <w:rPr>
          <w:rFonts w:asciiTheme="minorBidi" w:hAnsiTheme="minorBidi" w:cstheme="minorBidi"/>
        </w:rPr>
        <w:t xml:space="preserve"> R. </w:t>
      </w:r>
      <w:proofErr w:type="spellStart"/>
      <w:r w:rsidRPr="009132DA">
        <w:rPr>
          <w:rFonts w:asciiTheme="minorBidi" w:hAnsiTheme="minorBidi" w:cstheme="minorBidi"/>
        </w:rPr>
        <w:t>Mosheh</w:t>
      </w:r>
      <w:proofErr w:type="spellEnd"/>
      <w:r w:rsidRPr="009132DA">
        <w:rPr>
          <w:rFonts w:asciiTheme="minorBidi" w:hAnsiTheme="minorBidi" w:cstheme="minorBidi"/>
        </w:rPr>
        <w:t xml:space="preserve"> Lichtenstein, he noted that “fate” and “destiny” need not be </w:t>
      </w:r>
      <w:r w:rsidR="00681A67" w:rsidRPr="009132DA">
        <w:rPr>
          <w:rFonts w:asciiTheme="minorBidi" w:hAnsiTheme="minorBidi" w:cstheme="minorBidi"/>
        </w:rPr>
        <w:t xml:space="preserve">wholly </w:t>
      </w:r>
      <w:r w:rsidRPr="009132DA">
        <w:rPr>
          <w:rFonts w:asciiTheme="minorBidi" w:hAnsiTheme="minorBidi" w:cstheme="minorBidi"/>
        </w:rPr>
        <w:t xml:space="preserve">synonymous with the concepts of </w:t>
      </w:r>
      <w:r w:rsidRPr="009132DA">
        <w:rPr>
          <w:rFonts w:asciiTheme="minorBidi" w:hAnsiTheme="minorBidi" w:cstheme="minorBidi"/>
          <w:i/>
          <w:iCs/>
        </w:rPr>
        <w:t>berit Avot</w:t>
      </w:r>
      <w:r w:rsidRPr="009132DA">
        <w:rPr>
          <w:rFonts w:asciiTheme="minorBidi" w:hAnsiTheme="minorBidi" w:cstheme="minorBidi"/>
        </w:rPr>
        <w:t xml:space="preserve"> and </w:t>
      </w:r>
      <w:r w:rsidRPr="009132DA">
        <w:rPr>
          <w:rFonts w:asciiTheme="minorBidi" w:hAnsiTheme="minorBidi" w:cstheme="minorBidi"/>
          <w:i/>
          <w:iCs/>
        </w:rPr>
        <w:t>berit Sinai</w:t>
      </w:r>
      <w:r w:rsidRPr="009132DA">
        <w:rPr>
          <w:rFonts w:asciiTheme="minorBidi" w:hAnsiTheme="minorBidi" w:cstheme="minorBidi"/>
        </w:rPr>
        <w:t xml:space="preserve">, respectively.  That is, perhaps each of these covenants contains </w:t>
      </w:r>
      <w:r w:rsidR="00BC51E7">
        <w:rPr>
          <w:rFonts w:asciiTheme="minorBidi" w:hAnsiTheme="minorBidi" w:cstheme="minorBidi"/>
        </w:rPr>
        <w:t xml:space="preserve">elements of </w:t>
      </w:r>
      <w:r w:rsidRPr="009132DA">
        <w:rPr>
          <w:rFonts w:asciiTheme="minorBidi" w:hAnsiTheme="minorBidi" w:cstheme="minorBidi"/>
        </w:rPr>
        <w:t>“fate” and “destiny</w:t>
      </w:r>
      <w:r w:rsidR="00BC51E7">
        <w:rPr>
          <w:rFonts w:asciiTheme="minorBidi" w:hAnsiTheme="minorBidi" w:cstheme="minorBidi"/>
        </w:rPr>
        <w:t>.</w:t>
      </w:r>
      <w:r w:rsidRPr="009132DA">
        <w:rPr>
          <w:rFonts w:asciiTheme="minorBidi" w:hAnsiTheme="minorBidi" w:cstheme="minorBidi"/>
        </w:rPr>
        <w:t xml:space="preserve">”  While R. Soloveitchik stresses the “fate” element of </w:t>
      </w:r>
      <w:r w:rsidRPr="009132DA">
        <w:rPr>
          <w:rFonts w:asciiTheme="minorBidi" w:hAnsiTheme="minorBidi" w:cstheme="minorBidi"/>
          <w:i/>
          <w:iCs/>
        </w:rPr>
        <w:t>berit Avot</w:t>
      </w:r>
      <w:r w:rsidRPr="009132DA">
        <w:rPr>
          <w:rFonts w:asciiTheme="minorBidi" w:hAnsiTheme="minorBidi" w:cstheme="minorBidi"/>
        </w:rPr>
        <w:t xml:space="preserve"> for his purposes in “</w:t>
      </w:r>
      <w:r w:rsidRPr="009132DA">
        <w:rPr>
          <w:rFonts w:asciiTheme="minorBidi" w:hAnsiTheme="minorBidi" w:cstheme="minorBidi"/>
          <w:i/>
          <w:iCs/>
        </w:rPr>
        <w:t>Kol Dodi Dofek,</w:t>
      </w:r>
      <w:r w:rsidRPr="009132DA">
        <w:rPr>
          <w:rFonts w:asciiTheme="minorBidi" w:hAnsiTheme="minorBidi" w:cstheme="minorBidi"/>
        </w:rPr>
        <w:t xml:space="preserve">” there can also be a positive destiny to pursue within </w:t>
      </w:r>
      <w:r w:rsidRPr="009132DA">
        <w:rPr>
          <w:rFonts w:asciiTheme="minorBidi" w:hAnsiTheme="minorBidi" w:cstheme="minorBidi"/>
          <w:i/>
          <w:iCs/>
        </w:rPr>
        <w:t xml:space="preserve">berit Avot </w:t>
      </w:r>
      <w:r w:rsidRPr="009132DA">
        <w:rPr>
          <w:rFonts w:asciiTheme="minorBidi" w:hAnsiTheme="minorBidi" w:cstheme="minorBidi"/>
        </w:rPr>
        <w:t xml:space="preserve">(as well as a compulsory “fate” element to </w:t>
      </w:r>
      <w:r w:rsidRPr="009132DA">
        <w:rPr>
          <w:rFonts w:asciiTheme="minorBidi" w:hAnsiTheme="minorBidi" w:cstheme="minorBidi"/>
          <w:i/>
          <w:iCs/>
        </w:rPr>
        <w:t>berit Sinai</w:t>
      </w:r>
      <w:r w:rsidRPr="009132DA">
        <w:rPr>
          <w:rFonts w:asciiTheme="minorBidi" w:hAnsiTheme="minorBidi" w:cstheme="minorBidi"/>
        </w:rPr>
        <w:t xml:space="preserve">—see </w:t>
      </w:r>
      <w:r w:rsidRPr="009132DA">
        <w:rPr>
          <w:rFonts w:asciiTheme="minorBidi" w:hAnsiTheme="minorBidi" w:cstheme="minorBidi"/>
          <w:i/>
          <w:iCs/>
        </w:rPr>
        <w:t>Shabbat</w:t>
      </w:r>
      <w:r w:rsidRPr="009132DA">
        <w:rPr>
          <w:rFonts w:asciiTheme="minorBidi" w:hAnsiTheme="minorBidi" w:cstheme="minorBidi"/>
        </w:rPr>
        <w:t xml:space="preserve"> 88a).  Contrast, for instance, the presentation in “</w:t>
      </w:r>
      <w:r w:rsidRPr="009132DA">
        <w:rPr>
          <w:rFonts w:asciiTheme="minorBidi" w:hAnsiTheme="minorBidi" w:cstheme="minorBidi"/>
          <w:i/>
          <w:iCs/>
        </w:rPr>
        <w:t>Kol Dodi Dofek</w:t>
      </w:r>
      <w:r w:rsidRPr="009132DA">
        <w:rPr>
          <w:rFonts w:asciiTheme="minorBidi" w:hAnsiTheme="minorBidi" w:cstheme="minorBidi"/>
        </w:rPr>
        <w:t>” with the following comment:</w:t>
      </w:r>
    </w:p>
    <w:p w:rsidR="003F0354" w:rsidRPr="009132DA" w:rsidRDefault="003F0354" w:rsidP="001C56E0">
      <w:pPr>
        <w:pStyle w:val="FootnoteText"/>
        <w:spacing w:line="360" w:lineRule="auto"/>
        <w:ind w:left="720"/>
        <w:jc w:val="both"/>
        <w:rPr>
          <w:rFonts w:asciiTheme="minorBidi" w:hAnsiTheme="minorBidi" w:cstheme="minorBidi"/>
        </w:rPr>
      </w:pPr>
    </w:p>
    <w:p w:rsidR="003F0354" w:rsidRPr="009132DA" w:rsidRDefault="003F0354" w:rsidP="001C56E0">
      <w:pPr>
        <w:pStyle w:val="FootnoteText"/>
        <w:spacing w:line="360" w:lineRule="auto"/>
        <w:ind w:left="720"/>
        <w:jc w:val="both"/>
        <w:rPr>
          <w:rFonts w:asciiTheme="minorBidi" w:hAnsiTheme="minorBidi" w:cstheme="minorBidi"/>
        </w:rPr>
      </w:pPr>
      <w:r w:rsidRPr="009132DA">
        <w:rPr>
          <w:rFonts w:asciiTheme="minorBidi" w:hAnsiTheme="minorBidi" w:cstheme="minorBidi"/>
        </w:rPr>
        <w:t xml:space="preserve">The </w:t>
      </w:r>
      <w:proofErr w:type="spellStart"/>
      <w:r w:rsidRPr="009132DA">
        <w:rPr>
          <w:rFonts w:asciiTheme="minorBidi" w:hAnsiTheme="minorBidi" w:cstheme="minorBidi"/>
        </w:rPr>
        <w:t>Sinaitic</w:t>
      </w:r>
      <w:proofErr w:type="spellEnd"/>
      <w:r w:rsidRPr="009132DA">
        <w:rPr>
          <w:rFonts w:asciiTheme="minorBidi" w:hAnsiTheme="minorBidi" w:cstheme="minorBidi"/>
        </w:rPr>
        <w:t xml:space="preserve"> covenant tells the Jew what to do and how to act as a member of the covenantal community.  The patriarchal covenant teaches the Jew how to feel as a member of that community and how to experience being a Jew.  </w:t>
      </w:r>
      <w:r w:rsidRPr="009132DA">
        <w:rPr>
          <w:rFonts w:asciiTheme="minorBidi" w:hAnsiTheme="minorBidi" w:cstheme="minorBidi"/>
          <w:b/>
          <w:bCs/>
        </w:rPr>
        <w:t>It is a great experience</w:t>
      </w:r>
      <w:r w:rsidRPr="009132DA">
        <w:rPr>
          <w:rFonts w:asciiTheme="minorBidi" w:hAnsiTheme="minorBidi" w:cstheme="minorBidi"/>
        </w:rPr>
        <w:t>, but not everyone knows how to experience his Jewishness. (</w:t>
      </w:r>
      <w:r w:rsidRPr="009132DA">
        <w:rPr>
          <w:rFonts w:asciiTheme="minorBidi" w:hAnsiTheme="minorBidi" w:cstheme="minorBidi"/>
          <w:i/>
          <w:iCs/>
        </w:rPr>
        <w:t>Abraham’s Journey</w:t>
      </w:r>
      <w:r w:rsidRPr="009132DA">
        <w:rPr>
          <w:rFonts w:asciiTheme="minorBidi" w:hAnsiTheme="minorBidi" w:cstheme="minorBidi"/>
        </w:rPr>
        <w:t>, 201)</w:t>
      </w:r>
    </w:p>
    <w:p w:rsidR="003F0354" w:rsidRPr="009132DA" w:rsidRDefault="003F0354" w:rsidP="001C56E0">
      <w:pPr>
        <w:pStyle w:val="FootnoteText"/>
        <w:spacing w:line="360" w:lineRule="auto"/>
        <w:ind w:left="720"/>
        <w:jc w:val="both"/>
        <w:rPr>
          <w:rFonts w:asciiTheme="minorBidi" w:hAnsiTheme="minorBidi" w:cstheme="minorBidi"/>
        </w:rPr>
      </w:pPr>
    </w:p>
    <w:p w:rsidR="003F0354" w:rsidRPr="009132DA" w:rsidRDefault="003F0354" w:rsidP="001C56E0">
      <w:pPr>
        <w:pStyle w:val="FootnoteText"/>
        <w:spacing w:line="360" w:lineRule="auto"/>
        <w:jc w:val="both"/>
        <w:rPr>
          <w:rFonts w:asciiTheme="minorBidi" w:hAnsiTheme="minorBidi" w:cstheme="minorBidi"/>
        </w:rPr>
      </w:pPr>
      <w:r w:rsidRPr="009132DA">
        <w:rPr>
          <w:rFonts w:asciiTheme="minorBidi" w:hAnsiTheme="minorBidi" w:cstheme="minorBidi"/>
        </w:rPr>
        <w:t xml:space="preserve">R. Soloveitchik continues, “The patriarchal covenant created not only a covenantal personality but also a covenantal historical </w:t>
      </w:r>
      <w:r w:rsidRPr="009132DA">
        <w:rPr>
          <w:rFonts w:asciiTheme="minorBidi" w:hAnsiTheme="minorBidi" w:cstheme="minorBidi"/>
          <w:b/>
          <w:bCs/>
        </w:rPr>
        <w:t>destiny</w:t>
      </w:r>
      <w:r w:rsidRPr="009132DA">
        <w:rPr>
          <w:rFonts w:asciiTheme="minorBidi" w:hAnsiTheme="minorBidi" w:cstheme="minorBidi"/>
        </w:rPr>
        <w:t>” (202)</w:t>
      </w:r>
      <w:r w:rsidR="00BC51E7">
        <w:rPr>
          <w:rFonts w:asciiTheme="minorBidi" w:hAnsiTheme="minorBidi" w:cstheme="minorBidi"/>
        </w:rPr>
        <w:t>.</w:t>
      </w:r>
      <w:r w:rsidRPr="009132DA">
        <w:rPr>
          <w:rFonts w:asciiTheme="minorBidi" w:hAnsiTheme="minorBidi" w:cstheme="minorBidi"/>
        </w:rPr>
        <w:t xml:space="preserve"> </w:t>
      </w:r>
      <w:r w:rsidR="00BC51E7">
        <w:rPr>
          <w:rFonts w:asciiTheme="minorBidi" w:hAnsiTheme="minorBidi" w:cstheme="minorBidi"/>
        </w:rPr>
        <w:t xml:space="preserve">This </w:t>
      </w:r>
      <w:r w:rsidRPr="009132DA">
        <w:rPr>
          <w:rFonts w:asciiTheme="minorBidi" w:hAnsiTheme="minorBidi" w:cstheme="minorBidi"/>
        </w:rPr>
        <w:t>clearly strikes a different tone from that of “</w:t>
      </w:r>
      <w:r w:rsidRPr="009132DA">
        <w:rPr>
          <w:rFonts w:asciiTheme="minorBidi" w:hAnsiTheme="minorBidi" w:cstheme="minorBidi"/>
          <w:i/>
          <w:iCs/>
        </w:rPr>
        <w:t>Kol Dodi Dofek</w:t>
      </w:r>
      <w:r w:rsidRPr="009132DA">
        <w:rPr>
          <w:rFonts w:asciiTheme="minorBidi" w:hAnsiTheme="minorBidi" w:cstheme="minorBidi"/>
        </w:rPr>
        <w:t>.”</w:t>
      </w:r>
    </w:p>
    <w:p w:rsidR="003F0354" w:rsidRPr="009132DA" w:rsidRDefault="003F0354" w:rsidP="001C56E0">
      <w:pPr>
        <w:pStyle w:val="FootnoteText"/>
        <w:spacing w:line="360" w:lineRule="auto"/>
        <w:jc w:val="both"/>
        <w:rPr>
          <w:rFonts w:asciiTheme="minorBidi" w:hAnsiTheme="minorBidi" w:cstheme="minorBidi"/>
        </w:rPr>
      </w:pPr>
      <w:r w:rsidRPr="009132DA">
        <w:rPr>
          <w:rFonts w:asciiTheme="minorBidi" w:hAnsiTheme="minorBidi" w:cstheme="minorBidi"/>
        </w:rPr>
        <w:tab/>
        <w:t>In this context, R. Soloveitchik’s deliberate use of the term “</w:t>
      </w:r>
      <w:r w:rsidR="00681A67" w:rsidRPr="009132DA">
        <w:rPr>
          <w:rFonts w:asciiTheme="minorBidi" w:hAnsiTheme="minorBidi" w:cstheme="minorBidi"/>
        </w:rPr>
        <w:t>covenant of Egypt</w:t>
      </w:r>
      <w:r w:rsidRPr="009132DA">
        <w:rPr>
          <w:rFonts w:asciiTheme="minorBidi" w:hAnsiTheme="minorBidi" w:cstheme="minorBidi"/>
        </w:rPr>
        <w:t>”</w:t>
      </w:r>
      <w:r w:rsidR="00681A67" w:rsidRPr="009132DA">
        <w:rPr>
          <w:rFonts w:asciiTheme="minorBidi" w:hAnsiTheme="minorBidi" w:cstheme="minorBidi"/>
        </w:rPr>
        <w:t xml:space="preserve"> (</w:t>
      </w:r>
      <w:r w:rsidR="00681A67" w:rsidRPr="009132DA">
        <w:rPr>
          <w:rFonts w:asciiTheme="minorBidi" w:hAnsiTheme="minorBidi" w:cstheme="minorBidi"/>
          <w:i/>
          <w:iCs/>
        </w:rPr>
        <w:t xml:space="preserve">berit </w:t>
      </w:r>
      <w:proofErr w:type="spellStart"/>
      <w:r w:rsidR="00681A67" w:rsidRPr="009132DA">
        <w:rPr>
          <w:rFonts w:asciiTheme="minorBidi" w:hAnsiTheme="minorBidi" w:cstheme="minorBidi"/>
          <w:i/>
          <w:iCs/>
        </w:rPr>
        <w:t>Mitzrayim</w:t>
      </w:r>
      <w:proofErr w:type="spellEnd"/>
      <w:r w:rsidR="00681A67" w:rsidRPr="009132DA">
        <w:rPr>
          <w:rFonts w:asciiTheme="minorBidi" w:hAnsiTheme="minorBidi" w:cstheme="minorBidi"/>
        </w:rPr>
        <w:t>)</w:t>
      </w:r>
      <w:r w:rsidRPr="009132DA">
        <w:rPr>
          <w:rFonts w:asciiTheme="minorBidi" w:hAnsiTheme="minorBidi" w:cstheme="minorBidi"/>
        </w:rPr>
        <w:t xml:space="preserve"> instead of “</w:t>
      </w:r>
      <w:r w:rsidRPr="009132DA">
        <w:rPr>
          <w:rFonts w:asciiTheme="minorBidi" w:hAnsiTheme="minorBidi" w:cstheme="minorBidi"/>
          <w:i/>
          <w:iCs/>
        </w:rPr>
        <w:t>berit Avot</w:t>
      </w:r>
      <w:r w:rsidRPr="009132DA">
        <w:rPr>
          <w:rFonts w:asciiTheme="minorBidi" w:hAnsiTheme="minorBidi" w:cstheme="minorBidi"/>
        </w:rPr>
        <w:t xml:space="preserve">”—a distinction that I have glossed over until now—might be significant.  In contrast to God’s revelations to the </w:t>
      </w:r>
      <w:r w:rsidRPr="009132DA">
        <w:rPr>
          <w:rFonts w:asciiTheme="minorBidi" w:hAnsiTheme="minorBidi" w:cstheme="minorBidi"/>
          <w:i/>
          <w:iCs/>
        </w:rPr>
        <w:t>Avot</w:t>
      </w:r>
      <w:r w:rsidRPr="009132DA">
        <w:rPr>
          <w:rFonts w:asciiTheme="minorBidi" w:hAnsiTheme="minorBidi" w:cstheme="minorBidi"/>
        </w:rPr>
        <w:t xml:space="preserve">, which chart a </w:t>
      </w:r>
      <w:r w:rsidR="00681A67" w:rsidRPr="009132DA">
        <w:rPr>
          <w:rFonts w:asciiTheme="minorBidi" w:hAnsiTheme="minorBidi" w:cstheme="minorBidi"/>
        </w:rPr>
        <w:t>grand</w:t>
      </w:r>
      <w:r w:rsidRPr="009132DA">
        <w:rPr>
          <w:rFonts w:asciiTheme="minorBidi" w:hAnsiTheme="minorBidi" w:cstheme="minorBidi"/>
        </w:rPr>
        <w:t xml:space="preserve"> destiny for their progeny, the bondage in Egypt—during which </w:t>
      </w:r>
      <w:r w:rsidR="00C1379B">
        <w:rPr>
          <w:rFonts w:asciiTheme="minorBidi" w:hAnsiTheme="minorBidi" w:cstheme="minorBidi"/>
        </w:rPr>
        <w:t xml:space="preserve">time </w:t>
      </w:r>
      <w:r w:rsidRPr="009132DA">
        <w:rPr>
          <w:rFonts w:asciiTheme="minorBidi" w:hAnsiTheme="minorBidi" w:cstheme="minorBidi"/>
        </w:rPr>
        <w:t xml:space="preserve">the legacy </w:t>
      </w:r>
      <w:r w:rsidR="00C1379B">
        <w:rPr>
          <w:rFonts w:asciiTheme="minorBidi" w:hAnsiTheme="minorBidi" w:cstheme="minorBidi"/>
        </w:rPr>
        <w:t xml:space="preserve">of the </w:t>
      </w:r>
      <w:r w:rsidR="00C1379B">
        <w:rPr>
          <w:rFonts w:asciiTheme="minorBidi" w:hAnsiTheme="minorBidi" w:cstheme="minorBidi"/>
          <w:i/>
          <w:iCs/>
        </w:rPr>
        <w:t xml:space="preserve">Avot </w:t>
      </w:r>
      <w:r w:rsidRPr="009132DA">
        <w:rPr>
          <w:rFonts w:asciiTheme="minorBidi" w:hAnsiTheme="minorBidi" w:cstheme="minorBidi"/>
        </w:rPr>
        <w:t>was largely forgotten (see Rambam</w:t>
      </w:r>
      <w:r w:rsidRPr="009132DA">
        <w:rPr>
          <w:rFonts w:asciiTheme="minorBidi" w:hAnsiTheme="minorBidi" w:cstheme="minorBidi"/>
          <w:i/>
          <w:iCs/>
        </w:rPr>
        <w:t xml:space="preserve"> Hilkhot Avoda Zara</w:t>
      </w:r>
      <w:r w:rsidRPr="009132DA">
        <w:rPr>
          <w:rFonts w:asciiTheme="minorBidi" w:hAnsiTheme="minorBidi" w:cstheme="minorBidi"/>
        </w:rPr>
        <w:t xml:space="preserve"> 1:3)—emphasizes the “fate” experience that unites Jews through common loneliness and suffering.</w:t>
      </w:r>
    </w:p>
    <w:p w:rsidR="003F0354" w:rsidRPr="009132DA" w:rsidRDefault="003F0354" w:rsidP="001C56E0">
      <w:pPr>
        <w:pStyle w:val="FootnoteText"/>
        <w:spacing w:line="360" w:lineRule="auto"/>
        <w:jc w:val="both"/>
        <w:rPr>
          <w:rFonts w:asciiTheme="minorBidi" w:hAnsiTheme="minorBidi" w:cstheme="minorBidi"/>
        </w:rPr>
      </w:pPr>
      <w:r w:rsidRPr="009132DA">
        <w:rPr>
          <w:rFonts w:asciiTheme="minorBidi" w:hAnsiTheme="minorBidi" w:cstheme="minorBidi"/>
        </w:rPr>
        <w:tab/>
        <w:t>However, I am not sure that this distinction between “</w:t>
      </w:r>
      <w:r w:rsidRPr="009132DA">
        <w:rPr>
          <w:rFonts w:asciiTheme="minorBidi" w:hAnsiTheme="minorBidi" w:cstheme="minorBidi"/>
          <w:i/>
          <w:iCs/>
        </w:rPr>
        <w:t>berit Avot</w:t>
      </w:r>
      <w:r w:rsidRPr="009132DA">
        <w:rPr>
          <w:rFonts w:asciiTheme="minorBidi" w:hAnsiTheme="minorBidi" w:cstheme="minorBidi"/>
        </w:rPr>
        <w:t>” and “</w:t>
      </w:r>
      <w:r w:rsidRPr="009132DA">
        <w:rPr>
          <w:rFonts w:asciiTheme="minorBidi" w:hAnsiTheme="minorBidi" w:cstheme="minorBidi"/>
          <w:i/>
          <w:iCs/>
        </w:rPr>
        <w:t xml:space="preserve">berit </w:t>
      </w:r>
      <w:proofErr w:type="spellStart"/>
      <w:r w:rsidRPr="009132DA">
        <w:rPr>
          <w:rFonts w:asciiTheme="minorBidi" w:hAnsiTheme="minorBidi" w:cstheme="minorBidi"/>
          <w:i/>
          <w:iCs/>
        </w:rPr>
        <w:t>Mit</w:t>
      </w:r>
      <w:r w:rsidR="00681A67" w:rsidRPr="009132DA">
        <w:rPr>
          <w:rFonts w:asciiTheme="minorBidi" w:hAnsiTheme="minorBidi" w:cstheme="minorBidi"/>
          <w:i/>
          <w:iCs/>
        </w:rPr>
        <w:t>z</w:t>
      </w:r>
      <w:r w:rsidRPr="009132DA">
        <w:rPr>
          <w:rFonts w:asciiTheme="minorBidi" w:hAnsiTheme="minorBidi" w:cstheme="minorBidi"/>
          <w:i/>
          <w:iCs/>
        </w:rPr>
        <w:t>rayim</w:t>
      </w:r>
      <w:proofErr w:type="spellEnd"/>
      <w:r w:rsidRPr="009132DA">
        <w:rPr>
          <w:rFonts w:asciiTheme="minorBidi" w:hAnsiTheme="minorBidi" w:cstheme="minorBidi"/>
        </w:rPr>
        <w:t xml:space="preserve">” will hold consistently across R. Soloveitchik’s published works.  For example, when he asks, “What is the content of the </w:t>
      </w:r>
      <w:proofErr w:type="spellStart"/>
      <w:r w:rsidRPr="009132DA">
        <w:rPr>
          <w:rFonts w:asciiTheme="minorBidi" w:hAnsiTheme="minorBidi" w:cstheme="minorBidi"/>
        </w:rPr>
        <w:t>Patriarchial</w:t>
      </w:r>
      <w:proofErr w:type="spellEnd"/>
      <w:r w:rsidRPr="009132DA">
        <w:rPr>
          <w:rFonts w:asciiTheme="minorBidi" w:hAnsiTheme="minorBidi" w:cstheme="minorBidi"/>
        </w:rPr>
        <w:t xml:space="preserve"> covenant?” in an address to a </w:t>
      </w:r>
      <w:proofErr w:type="spellStart"/>
      <w:r w:rsidRPr="009132DA">
        <w:rPr>
          <w:rFonts w:asciiTheme="minorBidi" w:hAnsiTheme="minorBidi" w:cstheme="minorBidi"/>
        </w:rPr>
        <w:t>Mizrachi</w:t>
      </w:r>
      <w:proofErr w:type="spellEnd"/>
      <w:r w:rsidRPr="009132DA">
        <w:rPr>
          <w:rFonts w:asciiTheme="minorBidi" w:hAnsiTheme="minorBidi" w:cstheme="minorBidi"/>
        </w:rPr>
        <w:t xml:space="preserve"> convention, his answer largely echoes the negative, “fate” definition of “</w:t>
      </w:r>
      <w:r w:rsidRPr="009132DA">
        <w:rPr>
          <w:rFonts w:asciiTheme="minorBidi" w:hAnsiTheme="minorBidi" w:cstheme="minorBidi"/>
          <w:i/>
          <w:iCs/>
        </w:rPr>
        <w:t>Kol Dodi Dofek</w:t>
      </w:r>
      <w:r w:rsidRPr="009132DA">
        <w:rPr>
          <w:rFonts w:asciiTheme="minorBidi" w:hAnsiTheme="minorBidi" w:cstheme="minorBidi"/>
        </w:rPr>
        <w:t>:”  “The Patriarchal covenant is realized within Jewish consciousness because others point at him and say: ‘He is a Jew!’”</w:t>
      </w:r>
      <w:r w:rsidR="00C1379B">
        <w:rPr>
          <w:rFonts w:asciiTheme="minorBidi" w:hAnsiTheme="minorBidi" w:cstheme="minorBidi"/>
        </w:rPr>
        <w:t xml:space="preserve"> </w:t>
      </w:r>
      <w:r w:rsidRPr="009132DA">
        <w:rPr>
          <w:rFonts w:asciiTheme="minorBidi" w:hAnsiTheme="minorBidi" w:cstheme="minorBidi"/>
        </w:rPr>
        <w:t>(</w:t>
      </w:r>
      <w:r w:rsidRPr="009132DA">
        <w:rPr>
          <w:rFonts w:asciiTheme="minorBidi" w:hAnsiTheme="minorBidi" w:cstheme="minorBidi"/>
          <w:i/>
          <w:iCs/>
        </w:rPr>
        <w:t>The Rav Speaks:  Five Addresses on Israel, History, and the Jewish People</w:t>
      </w:r>
      <w:r w:rsidRPr="009132DA">
        <w:rPr>
          <w:rFonts w:asciiTheme="minorBidi" w:hAnsiTheme="minorBidi" w:cstheme="minorBidi"/>
        </w:rPr>
        <w:t xml:space="preserve">, 147).  In the same address, the State of Israel’s contribution to </w:t>
      </w:r>
      <w:r w:rsidRPr="009132DA">
        <w:rPr>
          <w:rFonts w:asciiTheme="minorBidi" w:hAnsiTheme="minorBidi" w:cstheme="minorBidi"/>
          <w:i/>
          <w:iCs/>
        </w:rPr>
        <w:t>berit Avot</w:t>
      </w:r>
      <w:r w:rsidRPr="009132DA">
        <w:rPr>
          <w:rFonts w:asciiTheme="minorBidi" w:hAnsiTheme="minorBidi" w:cstheme="minorBidi"/>
        </w:rPr>
        <w:t xml:space="preserve"> is in strengthening Jewish identity abroad (149-152).  True, R. Soloveitchik was speaking to Diaspora Jews about their own Zionism, but the omission of a positive vision for </w:t>
      </w:r>
      <w:r w:rsidRPr="009132DA">
        <w:rPr>
          <w:rFonts w:asciiTheme="minorBidi" w:hAnsiTheme="minorBidi" w:cstheme="minorBidi"/>
          <w:i/>
          <w:iCs/>
        </w:rPr>
        <w:t>berit Avot</w:t>
      </w:r>
      <w:r w:rsidRPr="009132DA">
        <w:rPr>
          <w:rFonts w:asciiTheme="minorBidi" w:hAnsiTheme="minorBidi" w:cstheme="minorBidi"/>
        </w:rPr>
        <w:t xml:space="preserve"> within a Jewish state, I think, is still noteworthy.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202F1"/>
    <w:multiLevelType w:val="hybridMultilevel"/>
    <w:tmpl w:val="E6FAAC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54"/>
    <w:rsid w:val="000E720B"/>
    <w:rsid w:val="001154A7"/>
    <w:rsid w:val="00116E41"/>
    <w:rsid w:val="001C56E0"/>
    <w:rsid w:val="001E0880"/>
    <w:rsid w:val="00237EEB"/>
    <w:rsid w:val="002439D5"/>
    <w:rsid w:val="002857E4"/>
    <w:rsid w:val="003E67B7"/>
    <w:rsid w:val="003F0354"/>
    <w:rsid w:val="00435033"/>
    <w:rsid w:val="00470F8A"/>
    <w:rsid w:val="005F2F9C"/>
    <w:rsid w:val="00662C18"/>
    <w:rsid w:val="00681A67"/>
    <w:rsid w:val="006B3D11"/>
    <w:rsid w:val="006C7EA6"/>
    <w:rsid w:val="008A6782"/>
    <w:rsid w:val="008B2998"/>
    <w:rsid w:val="008E0857"/>
    <w:rsid w:val="009132DA"/>
    <w:rsid w:val="009828FD"/>
    <w:rsid w:val="009F78EC"/>
    <w:rsid w:val="00A84D0F"/>
    <w:rsid w:val="00BA5BC7"/>
    <w:rsid w:val="00BC51E7"/>
    <w:rsid w:val="00C137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5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F0354"/>
    <w:pPr>
      <w:spacing w:after="0" w:line="240" w:lineRule="auto"/>
    </w:pPr>
    <w:rPr>
      <w:sz w:val="20"/>
      <w:szCs w:val="20"/>
    </w:rPr>
  </w:style>
  <w:style w:type="character" w:customStyle="1" w:styleId="FootnoteTextChar">
    <w:name w:val="Footnote Text Char"/>
    <w:basedOn w:val="DefaultParagraphFont"/>
    <w:link w:val="FootnoteText"/>
    <w:uiPriority w:val="99"/>
    <w:rsid w:val="003F0354"/>
    <w:rPr>
      <w:rFonts w:ascii="Calibri" w:eastAsia="Calibri" w:hAnsi="Calibri" w:cs="Arial"/>
      <w:sz w:val="20"/>
      <w:szCs w:val="20"/>
    </w:rPr>
  </w:style>
  <w:style w:type="character" w:styleId="FootnoteReference">
    <w:name w:val="footnote reference"/>
    <w:basedOn w:val="DefaultParagraphFont"/>
    <w:uiPriority w:val="99"/>
    <w:semiHidden/>
    <w:rsid w:val="003F0354"/>
    <w:rPr>
      <w:rFonts w:cs="Times New Roman"/>
      <w:vertAlign w:val="superscript"/>
    </w:rPr>
  </w:style>
  <w:style w:type="paragraph" w:styleId="ListParagraph">
    <w:name w:val="List Paragraph"/>
    <w:basedOn w:val="Normal"/>
    <w:uiPriority w:val="99"/>
    <w:qFormat/>
    <w:rsid w:val="003F0354"/>
    <w:pPr>
      <w:ind w:left="720"/>
      <w:contextualSpacing/>
    </w:pPr>
  </w:style>
  <w:style w:type="character" w:styleId="Hyperlink">
    <w:name w:val="Hyperlink"/>
    <w:uiPriority w:val="99"/>
    <w:semiHidden/>
    <w:rsid w:val="009132DA"/>
    <w:rPr>
      <w:rFonts w:cs="Times New Roman"/>
      <w:color w:val="0000FF"/>
      <w:u w:val="single"/>
    </w:rPr>
  </w:style>
  <w:style w:type="paragraph" w:customStyle="1" w:styleId="CC">
    <w:name w:val="CC"/>
    <w:basedOn w:val="BodyText"/>
    <w:rsid w:val="009132DA"/>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9132DA"/>
    <w:pPr>
      <w:spacing w:after="120"/>
    </w:pPr>
  </w:style>
  <w:style w:type="character" w:customStyle="1" w:styleId="BodyTextChar">
    <w:name w:val="Body Text Char"/>
    <w:basedOn w:val="DefaultParagraphFont"/>
    <w:link w:val="BodyText"/>
    <w:uiPriority w:val="99"/>
    <w:semiHidden/>
    <w:rsid w:val="009132DA"/>
    <w:rPr>
      <w:rFonts w:ascii="Calibri" w:eastAsia="Calibri" w:hAnsi="Calibri" w:cs="Arial"/>
    </w:rPr>
  </w:style>
  <w:style w:type="character" w:styleId="FollowedHyperlink">
    <w:name w:val="FollowedHyperlink"/>
    <w:basedOn w:val="DefaultParagraphFont"/>
    <w:uiPriority w:val="99"/>
    <w:semiHidden/>
    <w:unhideWhenUsed/>
    <w:rsid w:val="006C7EA6"/>
    <w:rPr>
      <w:color w:val="800080" w:themeColor="followedHyperlink"/>
      <w:u w:val="single"/>
    </w:rPr>
  </w:style>
  <w:style w:type="paragraph" w:styleId="BalloonText">
    <w:name w:val="Balloon Text"/>
    <w:basedOn w:val="Normal"/>
    <w:link w:val="BalloonTextChar"/>
    <w:uiPriority w:val="99"/>
    <w:semiHidden/>
    <w:unhideWhenUsed/>
    <w:rsid w:val="001C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E0"/>
    <w:rPr>
      <w:rFonts w:ascii="Tahoma" w:eastAsia="Calibri" w:hAnsi="Tahoma" w:cs="Tahoma"/>
      <w:sz w:val="16"/>
      <w:szCs w:val="16"/>
    </w:rPr>
  </w:style>
  <w:style w:type="paragraph" w:styleId="Revision">
    <w:name w:val="Revision"/>
    <w:hidden/>
    <w:uiPriority w:val="99"/>
    <w:semiHidden/>
    <w:rsid w:val="00A84D0F"/>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5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F0354"/>
    <w:pPr>
      <w:spacing w:after="0" w:line="240" w:lineRule="auto"/>
    </w:pPr>
    <w:rPr>
      <w:sz w:val="20"/>
      <w:szCs w:val="20"/>
    </w:rPr>
  </w:style>
  <w:style w:type="character" w:customStyle="1" w:styleId="FootnoteTextChar">
    <w:name w:val="Footnote Text Char"/>
    <w:basedOn w:val="DefaultParagraphFont"/>
    <w:link w:val="FootnoteText"/>
    <w:uiPriority w:val="99"/>
    <w:rsid w:val="003F0354"/>
    <w:rPr>
      <w:rFonts w:ascii="Calibri" w:eastAsia="Calibri" w:hAnsi="Calibri" w:cs="Arial"/>
      <w:sz w:val="20"/>
      <w:szCs w:val="20"/>
    </w:rPr>
  </w:style>
  <w:style w:type="character" w:styleId="FootnoteReference">
    <w:name w:val="footnote reference"/>
    <w:basedOn w:val="DefaultParagraphFont"/>
    <w:uiPriority w:val="99"/>
    <w:semiHidden/>
    <w:rsid w:val="003F0354"/>
    <w:rPr>
      <w:rFonts w:cs="Times New Roman"/>
      <w:vertAlign w:val="superscript"/>
    </w:rPr>
  </w:style>
  <w:style w:type="paragraph" w:styleId="ListParagraph">
    <w:name w:val="List Paragraph"/>
    <w:basedOn w:val="Normal"/>
    <w:uiPriority w:val="99"/>
    <w:qFormat/>
    <w:rsid w:val="003F0354"/>
    <w:pPr>
      <w:ind w:left="720"/>
      <w:contextualSpacing/>
    </w:pPr>
  </w:style>
  <w:style w:type="character" w:styleId="Hyperlink">
    <w:name w:val="Hyperlink"/>
    <w:uiPriority w:val="99"/>
    <w:semiHidden/>
    <w:rsid w:val="009132DA"/>
    <w:rPr>
      <w:rFonts w:cs="Times New Roman"/>
      <w:color w:val="0000FF"/>
      <w:u w:val="single"/>
    </w:rPr>
  </w:style>
  <w:style w:type="paragraph" w:customStyle="1" w:styleId="CC">
    <w:name w:val="CC"/>
    <w:basedOn w:val="BodyText"/>
    <w:rsid w:val="009132DA"/>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9132DA"/>
    <w:pPr>
      <w:spacing w:after="120"/>
    </w:pPr>
  </w:style>
  <w:style w:type="character" w:customStyle="1" w:styleId="BodyTextChar">
    <w:name w:val="Body Text Char"/>
    <w:basedOn w:val="DefaultParagraphFont"/>
    <w:link w:val="BodyText"/>
    <w:uiPriority w:val="99"/>
    <w:semiHidden/>
    <w:rsid w:val="009132DA"/>
    <w:rPr>
      <w:rFonts w:ascii="Calibri" w:eastAsia="Calibri" w:hAnsi="Calibri" w:cs="Arial"/>
    </w:rPr>
  </w:style>
  <w:style w:type="character" w:styleId="FollowedHyperlink">
    <w:name w:val="FollowedHyperlink"/>
    <w:basedOn w:val="DefaultParagraphFont"/>
    <w:uiPriority w:val="99"/>
    <w:semiHidden/>
    <w:unhideWhenUsed/>
    <w:rsid w:val="006C7EA6"/>
    <w:rPr>
      <w:color w:val="800080" w:themeColor="followedHyperlink"/>
      <w:u w:val="single"/>
    </w:rPr>
  </w:style>
  <w:style w:type="paragraph" w:styleId="BalloonText">
    <w:name w:val="Balloon Text"/>
    <w:basedOn w:val="Normal"/>
    <w:link w:val="BalloonTextChar"/>
    <w:uiPriority w:val="99"/>
    <w:semiHidden/>
    <w:unhideWhenUsed/>
    <w:rsid w:val="001C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E0"/>
    <w:rPr>
      <w:rFonts w:ascii="Tahoma" w:eastAsia="Calibri" w:hAnsi="Tahoma" w:cs="Tahoma"/>
      <w:sz w:val="16"/>
      <w:szCs w:val="16"/>
    </w:rPr>
  </w:style>
  <w:style w:type="paragraph" w:styleId="Revision">
    <w:name w:val="Revision"/>
    <w:hidden/>
    <w:uiPriority w:val="99"/>
    <w:semiHidden/>
    <w:rsid w:val="00A84D0F"/>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bm-torah.org/archive/sinai/06sinai.htm" TargetMode="External"/><Relationship Id="rId4" Type="http://schemas.microsoft.com/office/2007/relationships/stylesWithEffects" Target="stylesWithEffects.xml"/><Relationship Id="rId9" Type="http://schemas.openxmlformats.org/officeDocument/2006/relationships/hyperlink" Target="http://vbm-torah.org/archive/sinai/16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44AB-D035-45E4-9D53-A4206E91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1788</Words>
  <Characters>10194</Characters>
  <Application>Microsoft Office Word</Application>
  <DocSecurity>0</DocSecurity>
  <Lines>84</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4</cp:revision>
  <dcterms:created xsi:type="dcterms:W3CDTF">2014-03-13T09:13:00Z</dcterms:created>
  <dcterms:modified xsi:type="dcterms:W3CDTF">2014-12-11T09:36:00Z</dcterms:modified>
</cp:coreProperties>
</file>