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Default="00CB40FD" w:rsidP="005B537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YESHIVAT HAR ETZION</w:t>
      </w:r>
    </w:p>
    <w:p w:rsidR="00CB40FD" w:rsidRDefault="00CB40FD" w:rsidP="005B537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rsidR="00CB40FD" w:rsidRDefault="00CB40FD" w:rsidP="005B537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rsidR="00CB40FD" w:rsidRDefault="00CB40FD" w:rsidP="005B537A">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Default="00CB40FD" w:rsidP="005B537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rsidR="00CB40FD" w:rsidRDefault="00CB40FD" w:rsidP="005B537A">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rsidR="00CB40FD" w:rsidRDefault="00CB40FD" w:rsidP="005B537A">
      <w:pPr>
        <w:shd w:val="clear" w:color="auto" w:fill="FFFFFF"/>
        <w:spacing w:line="240" w:lineRule="auto"/>
        <w:jc w:val="center"/>
        <w:rPr>
          <w:b/>
          <w:sz w:val="24"/>
          <w:szCs w:val="24"/>
        </w:rPr>
      </w:pPr>
    </w:p>
    <w:p w:rsidR="00CB40FD" w:rsidRDefault="00CB40FD" w:rsidP="005B537A">
      <w:pPr>
        <w:spacing w:line="240" w:lineRule="auto"/>
        <w:jc w:val="center"/>
        <w:rPr>
          <w:b/>
          <w:sz w:val="24"/>
          <w:szCs w:val="24"/>
        </w:rPr>
      </w:pPr>
    </w:p>
    <w:p w:rsidR="00CB40FD" w:rsidRDefault="00874FEC" w:rsidP="005B537A">
      <w:pPr>
        <w:spacing w:line="240" w:lineRule="auto"/>
        <w:jc w:val="center"/>
        <w:rPr>
          <w:b/>
          <w:bCs/>
          <w:sz w:val="24"/>
          <w:szCs w:val="24"/>
        </w:rPr>
      </w:pPr>
      <w:r w:rsidRPr="005B537A">
        <w:rPr>
          <w:b/>
          <w:bCs/>
          <w:iCs/>
          <w:sz w:val="24"/>
          <w:szCs w:val="24"/>
        </w:rPr>
        <w:t>Shiur</w:t>
      </w:r>
      <w:r w:rsidR="00CB40FD">
        <w:rPr>
          <w:b/>
          <w:bCs/>
          <w:sz w:val="24"/>
          <w:szCs w:val="24"/>
        </w:rPr>
        <w:t xml:space="preserve"> #11: Women, Children and the Purpose of Torah Study</w:t>
      </w:r>
    </w:p>
    <w:p w:rsidR="00CB40FD" w:rsidRDefault="00CB40FD" w:rsidP="005B537A">
      <w:pPr>
        <w:spacing w:line="240" w:lineRule="auto"/>
        <w:jc w:val="both"/>
        <w:rPr>
          <w:sz w:val="24"/>
          <w:szCs w:val="24"/>
        </w:rPr>
      </w:pPr>
    </w:p>
    <w:p w:rsidR="00CB40FD" w:rsidRDefault="00CB40FD" w:rsidP="005B537A">
      <w:pPr>
        <w:spacing w:line="240" w:lineRule="auto"/>
        <w:jc w:val="both"/>
        <w:rPr>
          <w:sz w:val="24"/>
          <w:szCs w:val="24"/>
        </w:rPr>
      </w:pPr>
    </w:p>
    <w:p w:rsidR="00195277" w:rsidRPr="00A256BC" w:rsidRDefault="00195277" w:rsidP="005B537A">
      <w:pPr>
        <w:spacing w:line="240" w:lineRule="auto"/>
        <w:jc w:val="both"/>
        <w:rPr>
          <w:rFonts w:asciiTheme="minorBidi" w:hAnsiTheme="minorBidi" w:cstheme="minorBidi"/>
          <w:sz w:val="24"/>
          <w:szCs w:val="24"/>
        </w:rPr>
      </w:pPr>
      <w:r>
        <w:rPr>
          <w:sz w:val="24"/>
          <w:szCs w:val="24"/>
        </w:rPr>
        <w:t xml:space="preserve">Who is bound by the mitzva of </w:t>
      </w:r>
      <w:r w:rsidR="00A256BC" w:rsidRPr="00A256BC">
        <w:rPr>
          <w:i/>
          <w:sz w:val="24"/>
          <w:szCs w:val="24"/>
        </w:rPr>
        <w:t>talmud Torah</w:t>
      </w:r>
      <w:r>
        <w:rPr>
          <w:sz w:val="24"/>
          <w:szCs w:val="24"/>
        </w:rPr>
        <w:t>? The Gemara (</w:t>
      </w:r>
      <w:r w:rsidR="00A256BC" w:rsidRPr="00A256BC">
        <w:rPr>
          <w:i/>
          <w:sz w:val="24"/>
          <w:szCs w:val="24"/>
        </w:rPr>
        <w:t>Kiddushin</w:t>
      </w:r>
      <w:r>
        <w:rPr>
          <w:sz w:val="24"/>
          <w:szCs w:val="24"/>
        </w:rPr>
        <w:t xml:space="preserve"> 29b) analyzes the </w:t>
      </w:r>
      <w:r w:rsidRPr="00A256BC">
        <w:rPr>
          <w:rFonts w:asciiTheme="minorBidi" w:hAnsiTheme="minorBidi" w:cstheme="minorBidi"/>
          <w:sz w:val="24"/>
          <w:szCs w:val="24"/>
        </w:rPr>
        <w:t>Mishna’s statement that every father is obligated to teach his son Torah.</w:t>
      </w:r>
    </w:p>
    <w:p w:rsidR="00195277" w:rsidRPr="00A256BC" w:rsidRDefault="00195277" w:rsidP="005B537A">
      <w:pPr>
        <w:spacing w:line="240" w:lineRule="auto"/>
        <w:jc w:val="both"/>
        <w:rPr>
          <w:rFonts w:asciiTheme="minorBidi" w:hAnsiTheme="minorBidi" w:cstheme="minorBidi"/>
          <w:sz w:val="24"/>
          <w:szCs w:val="24"/>
        </w:rPr>
      </w:pPr>
    </w:p>
    <w:p w:rsidR="007E1ED6" w:rsidRPr="00A256BC" w:rsidRDefault="00195277" w:rsidP="005B537A">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A256BC">
        <w:rPr>
          <w:rFonts w:asciiTheme="minorBidi" w:eastAsia="Times New Roman" w:hAnsiTheme="minorBidi" w:cstheme="minorBidi"/>
          <w:color w:val="auto"/>
          <w:sz w:val="24"/>
          <w:szCs w:val="24"/>
          <w:lang w:val="en-US"/>
        </w:rPr>
        <w:t>“To teach him Torah” — from where do we know this?</w:t>
      </w:r>
      <w:r w:rsidRPr="00195277">
        <w:rPr>
          <w:rFonts w:asciiTheme="minorBidi" w:eastAsia="Times New Roman" w:hAnsiTheme="minorBidi" w:cstheme="minorBidi"/>
          <w:color w:val="auto"/>
          <w:sz w:val="24"/>
          <w:szCs w:val="24"/>
          <w:lang w:val="en-US"/>
        </w:rPr>
        <w:t xml:space="preserve"> Because it is written</w:t>
      </w:r>
      <w:r w:rsidRPr="00A256BC">
        <w:rPr>
          <w:rFonts w:asciiTheme="minorBidi" w:eastAsia="Times New Roman" w:hAnsiTheme="minorBidi" w:cstheme="minorBidi"/>
          <w:color w:val="auto"/>
          <w:sz w:val="24"/>
          <w:szCs w:val="24"/>
          <w:lang w:val="en-US"/>
        </w:rPr>
        <w:t xml:space="preserve"> (</w:t>
      </w:r>
      <w:r w:rsidR="00A256BC" w:rsidRPr="00A256BC">
        <w:rPr>
          <w:rFonts w:asciiTheme="minorBidi" w:eastAsia="Times New Roman" w:hAnsiTheme="minorBidi" w:cstheme="minorBidi"/>
          <w:i/>
          <w:color w:val="auto"/>
          <w:sz w:val="24"/>
          <w:szCs w:val="24"/>
          <w:lang w:val="en-US"/>
        </w:rPr>
        <w:t>Devarim</w:t>
      </w:r>
      <w:r w:rsidRPr="00A256BC">
        <w:rPr>
          <w:rFonts w:asciiTheme="minorBidi" w:eastAsia="Times New Roman" w:hAnsiTheme="minorBidi" w:cstheme="minorBidi"/>
          <w:color w:val="auto"/>
          <w:sz w:val="24"/>
          <w:szCs w:val="24"/>
          <w:lang w:val="en-US"/>
        </w:rPr>
        <w:t xml:space="preserve"> 11:19) “And you</w:t>
      </w:r>
      <w:r w:rsidR="009D6235" w:rsidRPr="00A256BC">
        <w:rPr>
          <w:rFonts w:asciiTheme="minorBidi" w:eastAsia="Times New Roman" w:hAnsiTheme="minorBidi" w:cstheme="minorBidi"/>
          <w:color w:val="auto"/>
          <w:sz w:val="24"/>
          <w:szCs w:val="24"/>
          <w:lang w:val="en-US"/>
        </w:rPr>
        <w:t xml:space="preserve"> shall teach (</w:t>
      </w:r>
      <w:r w:rsidR="00A256BC" w:rsidRPr="00A256BC">
        <w:rPr>
          <w:rFonts w:asciiTheme="minorBidi" w:eastAsia="Times New Roman" w:hAnsiTheme="minorBidi" w:cstheme="minorBidi"/>
          <w:i/>
          <w:color w:val="auto"/>
          <w:sz w:val="24"/>
          <w:szCs w:val="24"/>
          <w:lang w:val="en-US"/>
        </w:rPr>
        <w:t>ve-limadtem</w:t>
      </w:r>
      <w:r w:rsidR="009D6235"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your</w:t>
      </w:r>
      <w:r w:rsidR="009D6235"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sons.</w:t>
      </w:r>
      <w:r w:rsidR="009D6235"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And if his father did not teach him, he must</w:t>
      </w:r>
      <w:r w:rsidR="009D6235"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teach himself, for it is written</w:t>
      </w:r>
      <w:r w:rsidR="009D6235" w:rsidRPr="00A256BC">
        <w:rPr>
          <w:rFonts w:asciiTheme="minorBidi" w:eastAsia="Times New Roman" w:hAnsiTheme="minorBidi" w:cstheme="minorBidi"/>
          <w:color w:val="auto"/>
          <w:sz w:val="24"/>
          <w:szCs w:val="24"/>
          <w:lang w:val="en-US"/>
        </w:rPr>
        <w:t xml:space="preserve"> (ibid. 5:1)</w:t>
      </w:r>
      <w:r w:rsidRPr="00195277">
        <w:rPr>
          <w:rFonts w:asciiTheme="minorBidi" w:eastAsia="Times New Roman" w:hAnsiTheme="minorBidi" w:cstheme="minorBidi"/>
          <w:color w:val="auto"/>
          <w:sz w:val="24"/>
          <w:szCs w:val="24"/>
          <w:lang w:val="en-US"/>
        </w:rPr>
        <w:t xml:space="preserve">, </w:t>
      </w:r>
      <w:r w:rsidR="009D6235" w:rsidRPr="00A256BC">
        <w:rPr>
          <w:rFonts w:asciiTheme="minorBidi" w:eastAsia="Times New Roman" w:hAnsiTheme="minorBidi" w:cstheme="minorBidi"/>
          <w:color w:val="auto"/>
          <w:sz w:val="24"/>
          <w:szCs w:val="24"/>
          <w:lang w:val="en-US"/>
        </w:rPr>
        <w:t>“And you</w:t>
      </w:r>
      <w:r w:rsidRPr="00195277">
        <w:rPr>
          <w:rFonts w:asciiTheme="minorBidi" w:eastAsia="Times New Roman" w:hAnsiTheme="minorBidi" w:cstheme="minorBidi"/>
          <w:color w:val="auto"/>
          <w:sz w:val="24"/>
          <w:szCs w:val="24"/>
          <w:lang w:val="en-US"/>
        </w:rPr>
        <w:t xml:space="preserve"> shall</w:t>
      </w:r>
      <w:r w:rsidR="009D6235" w:rsidRPr="00A256BC">
        <w:rPr>
          <w:rFonts w:asciiTheme="minorBidi" w:eastAsia="Times New Roman" w:hAnsiTheme="minorBidi" w:cstheme="minorBidi"/>
          <w:color w:val="auto"/>
          <w:sz w:val="24"/>
          <w:szCs w:val="24"/>
          <w:rtl/>
          <w:lang w:val="en-US"/>
        </w:rPr>
        <w:t xml:space="preserve"> </w:t>
      </w:r>
      <w:r w:rsidR="009D6235" w:rsidRPr="00A256BC">
        <w:rPr>
          <w:rFonts w:asciiTheme="minorBidi" w:eastAsia="Times New Roman" w:hAnsiTheme="minorBidi" w:cstheme="minorBidi"/>
          <w:color w:val="auto"/>
          <w:sz w:val="24"/>
          <w:szCs w:val="24"/>
          <w:lang w:val="en-US"/>
        </w:rPr>
        <w:t>study” (</w:t>
      </w:r>
      <w:r w:rsidR="00A256BC" w:rsidRPr="00A256BC">
        <w:rPr>
          <w:rFonts w:asciiTheme="minorBidi" w:eastAsia="Times New Roman" w:hAnsiTheme="minorBidi" w:cstheme="minorBidi"/>
          <w:i/>
          <w:color w:val="auto"/>
          <w:sz w:val="24"/>
          <w:szCs w:val="24"/>
          <w:lang w:val="en-US"/>
        </w:rPr>
        <w:t>u-lmadtem</w:t>
      </w:r>
      <w:r w:rsidR="009D6235" w:rsidRPr="00A256BC">
        <w:rPr>
          <w:rFonts w:asciiTheme="minorBidi" w:eastAsia="Times New Roman" w:hAnsiTheme="minorBidi" w:cstheme="minorBidi"/>
          <w:color w:val="auto"/>
          <w:sz w:val="24"/>
          <w:szCs w:val="24"/>
          <w:lang w:val="en-US"/>
        </w:rPr>
        <w:t xml:space="preserve">). </w:t>
      </w:r>
    </w:p>
    <w:p w:rsidR="007E1ED6" w:rsidRPr="00A256BC" w:rsidRDefault="00195277" w:rsidP="005B537A">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195277">
        <w:rPr>
          <w:rFonts w:asciiTheme="minorBidi" w:eastAsia="Times New Roman" w:hAnsiTheme="minorBidi" w:cstheme="minorBidi"/>
          <w:color w:val="auto"/>
          <w:sz w:val="24"/>
          <w:szCs w:val="24"/>
          <w:lang w:val="en-US"/>
        </w:rPr>
        <w:t>How do we know that she [the</w:t>
      </w:r>
      <w:r w:rsidR="007E1ED6"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 xml:space="preserve">mother] has no duty [to teach </w:t>
      </w:r>
      <w:r w:rsidR="007E1ED6" w:rsidRPr="00A256BC">
        <w:rPr>
          <w:rFonts w:asciiTheme="minorBidi" w:eastAsia="Times New Roman" w:hAnsiTheme="minorBidi" w:cstheme="minorBidi"/>
          <w:color w:val="auto"/>
          <w:sz w:val="24"/>
          <w:szCs w:val="24"/>
          <w:lang w:val="en-US"/>
        </w:rPr>
        <w:t xml:space="preserve">her children]? Because </w:t>
      </w:r>
      <w:r w:rsidR="00A256BC" w:rsidRPr="00A256BC">
        <w:rPr>
          <w:rFonts w:asciiTheme="minorBidi" w:eastAsia="Times New Roman" w:hAnsiTheme="minorBidi" w:cstheme="minorBidi"/>
          <w:i/>
          <w:color w:val="auto"/>
          <w:sz w:val="24"/>
          <w:szCs w:val="24"/>
          <w:lang w:val="en-US"/>
        </w:rPr>
        <w:t>ve-limadtem</w:t>
      </w:r>
      <w:r w:rsidR="007E1ED6" w:rsidRPr="00A256BC">
        <w:rPr>
          <w:rFonts w:asciiTheme="minorBidi" w:eastAsia="Times New Roman" w:hAnsiTheme="minorBidi" w:cstheme="minorBidi"/>
          <w:color w:val="auto"/>
          <w:sz w:val="24"/>
          <w:szCs w:val="24"/>
          <w:lang w:val="en-US"/>
        </w:rPr>
        <w:t xml:space="preserve"> and </w:t>
      </w:r>
      <w:r w:rsidR="00A256BC" w:rsidRPr="00A256BC">
        <w:rPr>
          <w:rFonts w:asciiTheme="minorBidi" w:eastAsia="Times New Roman" w:hAnsiTheme="minorBidi" w:cstheme="minorBidi"/>
          <w:i/>
          <w:color w:val="auto"/>
          <w:sz w:val="24"/>
          <w:szCs w:val="24"/>
          <w:lang w:val="en-US"/>
        </w:rPr>
        <w:t>u-lm</w:t>
      </w:r>
      <w:bookmarkStart w:id="0" w:name="_GoBack"/>
      <w:bookmarkEnd w:id="0"/>
      <w:r w:rsidR="00A256BC" w:rsidRPr="00A256BC">
        <w:rPr>
          <w:rFonts w:asciiTheme="minorBidi" w:eastAsia="Times New Roman" w:hAnsiTheme="minorBidi" w:cstheme="minorBidi"/>
          <w:i/>
          <w:color w:val="auto"/>
          <w:sz w:val="24"/>
          <w:szCs w:val="24"/>
          <w:lang w:val="en-US"/>
        </w:rPr>
        <w:t>adtem</w:t>
      </w:r>
      <w:r w:rsidR="007E1ED6" w:rsidRPr="00A256BC">
        <w:rPr>
          <w:rFonts w:asciiTheme="minorBidi" w:eastAsia="Times New Roman" w:hAnsiTheme="minorBidi" w:cstheme="minorBidi"/>
          <w:color w:val="auto"/>
          <w:sz w:val="24"/>
          <w:szCs w:val="24"/>
          <w:lang w:val="en-US"/>
        </w:rPr>
        <w:t xml:space="preserve"> are written the same:</w:t>
      </w:r>
      <w:r w:rsidRPr="00195277">
        <w:rPr>
          <w:rFonts w:asciiTheme="minorBidi" w:eastAsia="Times New Roman" w:hAnsiTheme="minorBidi" w:cstheme="minorBidi"/>
          <w:color w:val="auto"/>
          <w:sz w:val="24"/>
          <w:szCs w:val="24"/>
          <w:lang w:val="en-US"/>
        </w:rPr>
        <w:t xml:space="preserve"> whoever is commanded to study, is commanded to teach; whoever is not commanded to</w:t>
      </w:r>
      <w:r w:rsidR="007E1ED6"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 xml:space="preserve">study, is not commanded to teach. </w:t>
      </w:r>
    </w:p>
    <w:p w:rsidR="007E1ED6" w:rsidRDefault="00195277" w:rsidP="005B537A">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195277">
        <w:rPr>
          <w:rFonts w:asciiTheme="minorBidi" w:eastAsia="Times New Roman" w:hAnsiTheme="minorBidi" w:cstheme="minorBidi"/>
          <w:color w:val="auto"/>
          <w:sz w:val="24"/>
          <w:szCs w:val="24"/>
          <w:lang w:val="en-US"/>
        </w:rPr>
        <w:t>And how do we know</w:t>
      </w:r>
      <w:r w:rsidR="007E1ED6"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 xml:space="preserve">that she </w:t>
      </w:r>
      <w:r w:rsidR="00A256BC">
        <w:rPr>
          <w:rFonts w:asciiTheme="minorBidi" w:eastAsia="Times New Roman" w:hAnsiTheme="minorBidi" w:cstheme="minorBidi"/>
          <w:color w:val="auto"/>
          <w:sz w:val="24"/>
          <w:szCs w:val="24"/>
          <w:lang w:val="en-US"/>
        </w:rPr>
        <w:t xml:space="preserve">is not bound to teach herself? </w:t>
      </w:r>
      <w:r w:rsidR="007E1ED6" w:rsidRPr="00A256BC">
        <w:rPr>
          <w:rFonts w:asciiTheme="minorBidi" w:eastAsia="Times New Roman" w:hAnsiTheme="minorBidi" w:cstheme="minorBidi"/>
          <w:color w:val="auto"/>
          <w:sz w:val="24"/>
          <w:szCs w:val="24"/>
          <w:lang w:val="en-US"/>
        </w:rPr>
        <w:t xml:space="preserve">Because </w:t>
      </w:r>
      <w:r w:rsidR="00A256BC" w:rsidRPr="00A256BC">
        <w:rPr>
          <w:rFonts w:asciiTheme="minorBidi" w:eastAsia="Times New Roman" w:hAnsiTheme="minorBidi" w:cstheme="minorBidi"/>
          <w:i/>
          <w:color w:val="auto"/>
          <w:sz w:val="24"/>
          <w:szCs w:val="24"/>
          <w:lang w:val="en-US"/>
        </w:rPr>
        <w:t>ve-limadtem</w:t>
      </w:r>
      <w:r w:rsidR="007E1ED6" w:rsidRPr="00A256BC">
        <w:rPr>
          <w:rFonts w:asciiTheme="minorBidi" w:eastAsia="Times New Roman" w:hAnsiTheme="minorBidi" w:cstheme="minorBidi"/>
          <w:color w:val="auto"/>
          <w:sz w:val="24"/>
          <w:szCs w:val="24"/>
          <w:lang w:val="en-US"/>
        </w:rPr>
        <w:t xml:space="preserve"> and </w:t>
      </w:r>
      <w:r w:rsidR="00A256BC" w:rsidRPr="00A256BC">
        <w:rPr>
          <w:rFonts w:asciiTheme="minorBidi" w:eastAsia="Times New Roman" w:hAnsiTheme="minorBidi" w:cstheme="minorBidi"/>
          <w:i/>
          <w:color w:val="auto"/>
          <w:sz w:val="24"/>
          <w:szCs w:val="24"/>
          <w:lang w:val="en-US"/>
        </w:rPr>
        <w:t>u-lmadtem</w:t>
      </w:r>
      <w:r w:rsidR="007E1ED6" w:rsidRPr="00A256BC">
        <w:rPr>
          <w:rFonts w:asciiTheme="minorBidi" w:eastAsia="Times New Roman" w:hAnsiTheme="minorBidi" w:cstheme="minorBidi"/>
          <w:color w:val="auto"/>
          <w:sz w:val="24"/>
          <w:szCs w:val="24"/>
          <w:lang w:val="en-US"/>
        </w:rPr>
        <w:t xml:space="preserve"> are written the same: </w:t>
      </w:r>
      <w:r w:rsidRPr="00195277">
        <w:rPr>
          <w:rFonts w:asciiTheme="minorBidi" w:eastAsia="Times New Roman" w:hAnsiTheme="minorBidi" w:cstheme="minorBidi"/>
          <w:color w:val="auto"/>
          <w:sz w:val="24"/>
          <w:szCs w:val="24"/>
          <w:lang w:val="en-US"/>
        </w:rPr>
        <w:t>the one whom others are commanded to teach is commanded to teach oneself; and the one whom</w:t>
      </w:r>
      <w:r w:rsidR="007E1ED6"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 xml:space="preserve">others are not commanded to teach, is not commanded to teach oneself. </w:t>
      </w:r>
    </w:p>
    <w:p w:rsidR="00195277" w:rsidRPr="00A256BC" w:rsidRDefault="00195277" w:rsidP="005B537A">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195277">
        <w:rPr>
          <w:rFonts w:asciiTheme="minorBidi" w:eastAsia="Times New Roman" w:hAnsiTheme="minorBidi" w:cstheme="minorBidi"/>
          <w:color w:val="auto"/>
          <w:sz w:val="24"/>
          <w:szCs w:val="24"/>
          <w:lang w:val="en-US"/>
        </w:rPr>
        <w:t>How then do we know that</w:t>
      </w:r>
      <w:r w:rsidR="007E1ED6" w:rsidRPr="00A256BC">
        <w:rPr>
          <w:rFonts w:asciiTheme="minorBidi" w:eastAsia="Times New Roman" w:hAnsiTheme="minorBidi" w:cstheme="minorBidi"/>
          <w:color w:val="auto"/>
          <w:sz w:val="24"/>
          <w:szCs w:val="24"/>
          <w:lang w:val="en-US"/>
        </w:rPr>
        <w:t xml:space="preserve"> </w:t>
      </w:r>
      <w:r w:rsidRPr="00195277">
        <w:rPr>
          <w:rFonts w:asciiTheme="minorBidi" w:eastAsia="Times New Roman" w:hAnsiTheme="minorBidi" w:cstheme="minorBidi"/>
          <w:color w:val="auto"/>
          <w:sz w:val="24"/>
          <w:szCs w:val="24"/>
          <w:lang w:val="en-US"/>
        </w:rPr>
        <w:t xml:space="preserve">others </w:t>
      </w:r>
      <w:r w:rsidR="00A256BC">
        <w:rPr>
          <w:rFonts w:asciiTheme="minorBidi" w:eastAsia="Times New Roman" w:hAnsiTheme="minorBidi" w:cstheme="minorBidi"/>
          <w:color w:val="auto"/>
          <w:sz w:val="24"/>
          <w:szCs w:val="24"/>
          <w:lang w:val="en-US"/>
        </w:rPr>
        <w:t>are not commanded to teach her? B</w:t>
      </w:r>
      <w:r w:rsidRPr="00195277">
        <w:rPr>
          <w:rFonts w:asciiTheme="minorBidi" w:eastAsia="Times New Roman" w:hAnsiTheme="minorBidi" w:cstheme="minorBidi"/>
          <w:color w:val="auto"/>
          <w:sz w:val="24"/>
          <w:szCs w:val="24"/>
          <w:lang w:val="en-US"/>
        </w:rPr>
        <w:t>ecau</w:t>
      </w:r>
      <w:r w:rsidR="007E1ED6" w:rsidRPr="00A256BC">
        <w:rPr>
          <w:rFonts w:asciiTheme="minorBidi" w:eastAsia="Times New Roman" w:hAnsiTheme="minorBidi" w:cstheme="minorBidi"/>
          <w:color w:val="auto"/>
          <w:sz w:val="24"/>
          <w:szCs w:val="24"/>
          <w:lang w:val="en-US"/>
        </w:rPr>
        <w:t>se it is written: “And you</w:t>
      </w:r>
      <w:r w:rsidRPr="00195277">
        <w:rPr>
          <w:rFonts w:asciiTheme="minorBidi" w:eastAsia="Times New Roman" w:hAnsiTheme="minorBidi" w:cstheme="minorBidi"/>
          <w:color w:val="auto"/>
          <w:sz w:val="24"/>
          <w:szCs w:val="24"/>
          <w:lang w:val="en-US"/>
        </w:rPr>
        <w:t xml:space="preserve"> shall teach them your</w:t>
      </w:r>
      <w:r w:rsidR="007E1ED6" w:rsidRPr="00A256BC">
        <w:rPr>
          <w:rFonts w:asciiTheme="minorBidi" w:eastAsia="Times New Roman" w:hAnsiTheme="minorBidi" w:cstheme="minorBidi"/>
          <w:color w:val="auto"/>
          <w:sz w:val="24"/>
          <w:szCs w:val="24"/>
          <w:lang w:val="en-US"/>
        </w:rPr>
        <w:t xml:space="preserve"> sons” — b</w:t>
      </w:r>
      <w:r w:rsidRPr="00195277">
        <w:rPr>
          <w:rFonts w:asciiTheme="minorBidi" w:eastAsia="Times New Roman" w:hAnsiTheme="minorBidi" w:cstheme="minorBidi"/>
          <w:color w:val="auto"/>
          <w:sz w:val="24"/>
          <w:szCs w:val="24"/>
          <w:lang w:val="en-US"/>
        </w:rPr>
        <w:t>ut not your daughters.</w:t>
      </w:r>
    </w:p>
    <w:p w:rsidR="00195277" w:rsidRPr="00A256BC" w:rsidRDefault="00195277" w:rsidP="005B537A">
      <w:pPr>
        <w:spacing w:line="240" w:lineRule="auto"/>
        <w:jc w:val="both"/>
        <w:rPr>
          <w:rFonts w:asciiTheme="minorBidi" w:hAnsiTheme="minorBidi" w:cstheme="minorBidi"/>
          <w:sz w:val="24"/>
          <w:szCs w:val="24"/>
        </w:rPr>
      </w:pPr>
    </w:p>
    <w:p w:rsidR="00CB40FD" w:rsidRDefault="007E1ED6" w:rsidP="005B537A">
      <w:pPr>
        <w:spacing w:line="240" w:lineRule="auto"/>
        <w:jc w:val="both"/>
        <w:rPr>
          <w:sz w:val="24"/>
          <w:szCs w:val="24"/>
        </w:rPr>
      </w:pPr>
      <w:r w:rsidRPr="00A256BC">
        <w:rPr>
          <w:rFonts w:asciiTheme="minorBidi" w:hAnsiTheme="minorBidi" w:cstheme="minorBidi"/>
          <w:sz w:val="24"/>
          <w:szCs w:val="24"/>
        </w:rPr>
        <w:t>Still</w:t>
      </w:r>
      <w:r w:rsidR="00CB40FD" w:rsidRPr="00A256BC">
        <w:rPr>
          <w:rFonts w:asciiTheme="minorBidi" w:hAnsiTheme="minorBidi" w:cstheme="minorBidi"/>
          <w:sz w:val="24"/>
          <w:szCs w:val="24"/>
        </w:rPr>
        <w:t xml:space="preserve">, medieval authorities dispute whether women nonetheless remain obligated in a limited scope of Torah study. </w:t>
      </w:r>
      <w:r w:rsidR="00A256BC" w:rsidRPr="00A256BC">
        <w:rPr>
          <w:rFonts w:asciiTheme="minorBidi" w:hAnsiTheme="minorBidi" w:cstheme="minorBidi"/>
          <w:i/>
          <w:sz w:val="24"/>
          <w:szCs w:val="24"/>
        </w:rPr>
        <w:t>Sefer Chasidim</w:t>
      </w:r>
      <w:r w:rsidR="00CB40FD" w:rsidRPr="00A256BC">
        <w:rPr>
          <w:rFonts w:asciiTheme="minorBidi" w:hAnsiTheme="minorBidi" w:cstheme="minorBidi"/>
          <w:sz w:val="24"/>
          <w:szCs w:val="24"/>
        </w:rPr>
        <w:t xml:space="preserve"> (313, 835) contends that women are obligated to learn the laws that are practically relevant to them. Maharil (199) disagrees, arguing that women can suffice by observing th</w:t>
      </w:r>
      <w:r w:rsidR="00195277" w:rsidRPr="00A256BC">
        <w:rPr>
          <w:rFonts w:asciiTheme="minorBidi" w:hAnsiTheme="minorBidi" w:cstheme="minorBidi"/>
          <w:sz w:val="24"/>
          <w:szCs w:val="24"/>
        </w:rPr>
        <w:t>e practices of their mothers. Rema (</w:t>
      </w:r>
      <w:r w:rsidR="00A256BC" w:rsidRPr="00A256BC">
        <w:rPr>
          <w:rFonts w:asciiTheme="minorBidi" w:hAnsiTheme="minorBidi" w:cstheme="minorBidi"/>
          <w:i/>
          <w:sz w:val="24"/>
          <w:szCs w:val="24"/>
        </w:rPr>
        <w:t>YD</w:t>
      </w:r>
      <w:r w:rsidR="00CB40FD" w:rsidRPr="00A256BC">
        <w:rPr>
          <w:rFonts w:asciiTheme="minorBidi" w:hAnsiTheme="minorBidi" w:cstheme="minorBidi"/>
          <w:sz w:val="24"/>
          <w:szCs w:val="24"/>
        </w:rPr>
        <w:t xml:space="preserve"> 246:6) rules in accordance with </w:t>
      </w:r>
      <w:r w:rsidR="00A256BC" w:rsidRPr="00A256BC">
        <w:rPr>
          <w:rFonts w:asciiTheme="minorBidi" w:hAnsiTheme="minorBidi" w:cstheme="minorBidi"/>
          <w:i/>
          <w:sz w:val="24"/>
          <w:szCs w:val="24"/>
        </w:rPr>
        <w:t>Sefer Chasidim</w:t>
      </w:r>
      <w:r w:rsidR="00CB40FD" w:rsidRPr="00A256BC">
        <w:rPr>
          <w:rFonts w:asciiTheme="minorBidi" w:hAnsiTheme="minorBidi" w:cstheme="minorBidi"/>
          <w:sz w:val="24"/>
          <w:szCs w:val="24"/>
        </w:rPr>
        <w:t xml:space="preserve">. It is unclear, however, how we are to understand the nature of this obligation. According to </w:t>
      </w:r>
      <w:r w:rsidR="00A256BC" w:rsidRPr="00A256BC">
        <w:rPr>
          <w:rFonts w:asciiTheme="minorBidi" w:hAnsiTheme="minorBidi" w:cstheme="minorBidi"/>
          <w:i/>
          <w:sz w:val="24"/>
          <w:szCs w:val="24"/>
        </w:rPr>
        <w:t>Sefer Chasidim</w:t>
      </w:r>
      <w:r w:rsidR="00CB40FD" w:rsidRPr="00A256BC">
        <w:rPr>
          <w:rFonts w:asciiTheme="minorBidi" w:hAnsiTheme="minorBidi" w:cstheme="minorBidi"/>
          <w:sz w:val="24"/>
          <w:szCs w:val="24"/>
        </w:rPr>
        <w:t xml:space="preserve">, are women entirely exempt from the obligation of </w:t>
      </w:r>
      <w:r w:rsidR="00A256BC" w:rsidRPr="00A256BC">
        <w:rPr>
          <w:rFonts w:asciiTheme="minorBidi" w:hAnsiTheme="minorBidi" w:cstheme="minorBidi"/>
          <w:i/>
          <w:sz w:val="24"/>
          <w:szCs w:val="24"/>
        </w:rPr>
        <w:t>talmud Torah</w:t>
      </w:r>
      <w:r w:rsidR="00CB40FD" w:rsidRPr="00A256BC">
        <w:rPr>
          <w:rFonts w:asciiTheme="minorBidi" w:hAnsiTheme="minorBidi" w:cstheme="minorBidi"/>
          <w:sz w:val="24"/>
          <w:szCs w:val="24"/>
        </w:rPr>
        <w:t xml:space="preserve"> and </w:t>
      </w:r>
      <w:r w:rsidRPr="00A256BC">
        <w:rPr>
          <w:rFonts w:asciiTheme="minorBidi" w:hAnsiTheme="minorBidi" w:cstheme="minorBidi"/>
          <w:sz w:val="24"/>
          <w:szCs w:val="24"/>
        </w:rPr>
        <w:t>bound</w:t>
      </w:r>
      <w:r w:rsidR="00CB40FD" w:rsidRPr="00A256BC">
        <w:rPr>
          <w:rFonts w:asciiTheme="minorBidi" w:hAnsiTheme="minorBidi" w:cstheme="minorBidi"/>
          <w:sz w:val="24"/>
          <w:szCs w:val="24"/>
        </w:rPr>
        <w:t xml:space="preserve"> to study relevant </w:t>
      </w:r>
      <w:r w:rsidR="00CB40FD" w:rsidRPr="00A256BC">
        <w:rPr>
          <w:rFonts w:asciiTheme="minorBidi" w:hAnsiTheme="minorBidi" w:cstheme="minorBidi"/>
          <w:i/>
          <w:sz w:val="24"/>
          <w:szCs w:val="24"/>
        </w:rPr>
        <w:t>halakhot</w:t>
      </w:r>
      <w:r w:rsidR="00CB40FD" w:rsidRPr="00A256BC">
        <w:rPr>
          <w:rFonts w:asciiTheme="minorBidi" w:hAnsiTheme="minorBidi" w:cstheme="minorBidi"/>
          <w:sz w:val="24"/>
          <w:szCs w:val="24"/>
        </w:rPr>
        <w:t xml:space="preserve">, or are they in fact partly obligated in the </w:t>
      </w:r>
      <w:r w:rsidR="00CB40FD" w:rsidRPr="00A256BC">
        <w:rPr>
          <w:rFonts w:asciiTheme="minorBidi" w:hAnsiTheme="minorBidi" w:cstheme="minorBidi"/>
          <w:iCs/>
          <w:sz w:val="24"/>
          <w:szCs w:val="24"/>
        </w:rPr>
        <w:t>mitzva</w:t>
      </w:r>
      <w:r w:rsidR="00CB40FD" w:rsidRPr="00A256BC">
        <w:rPr>
          <w:rFonts w:asciiTheme="minorBidi" w:hAnsiTheme="minorBidi" w:cstheme="minorBidi"/>
          <w:sz w:val="24"/>
          <w:szCs w:val="24"/>
        </w:rPr>
        <w:t xml:space="preserve"> of </w:t>
      </w:r>
      <w:r w:rsidR="00A256BC" w:rsidRPr="00A256BC">
        <w:rPr>
          <w:rFonts w:asciiTheme="minorBidi" w:hAnsiTheme="minorBidi" w:cstheme="minorBidi"/>
          <w:i/>
          <w:sz w:val="24"/>
          <w:szCs w:val="24"/>
        </w:rPr>
        <w:t>talmud Torah</w:t>
      </w:r>
      <w:r w:rsidR="00CB40FD" w:rsidRPr="00A256BC">
        <w:rPr>
          <w:rFonts w:asciiTheme="minorBidi" w:hAnsiTheme="minorBidi" w:cstheme="minorBidi"/>
          <w:sz w:val="24"/>
          <w:szCs w:val="24"/>
        </w:rPr>
        <w:t>?</w:t>
      </w:r>
      <w:r w:rsidR="00CB40FD">
        <w:rPr>
          <w:sz w:val="24"/>
          <w:szCs w:val="24"/>
        </w:rPr>
        <w:t xml:space="preserve"> </w:t>
      </w:r>
    </w:p>
    <w:p w:rsidR="00CB40FD" w:rsidRDefault="00CB40FD" w:rsidP="005B537A">
      <w:pPr>
        <w:spacing w:line="240" w:lineRule="auto"/>
        <w:jc w:val="both"/>
        <w:rPr>
          <w:sz w:val="24"/>
          <w:szCs w:val="24"/>
        </w:rPr>
      </w:pPr>
    </w:p>
    <w:p w:rsidR="00CB40FD" w:rsidRDefault="00CB40FD" w:rsidP="005B537A">
      <w:pPr>
        <w:spacing w:line="240" w:lineRule="auto"/>
        <w:jc w:val="both"/>
        <w:rPr>
          <w:sz w:val="24"/>
          <w:szCs w:val="24"/>
        </w:rPr>
      </w:pPr>
      <w:r>
        <w:rPr>
          <w:sz w:val="24"/>
          <w:szCs w:val="24"/>
        </w:rPr>
        <w:t xml:space="preserve">It would appear that this question is subject to a dispute among the </w:t>
      </w:r>
      <w:r w:rsidR="00CE107E" w:rsidRPr="007E1ED6">
        <w:rPr>
          <w:iCs/>
          <w:sz w:val="24"/>
          <w:szCs w:val="24"/>
        </w:rPr>
        <w:t>Acharonim</w:t>
      </w:r>
      <w:r>
        <w:rPr>
          <w:sz w:val="24"/>
          <w:szCs w:val="24"/>
        </w:rPr>
        <w:t xml:space="preserve">. </w:t>
      </w:r>
      <w:r w:rsidR="00A256BC" w:rsidRPr="00A256BC">
        <w:rPr>
          <w:i/>
          <w:sz w:val="24"/>
          <w:szCs w:val="24"/>
        </w:rPr>
        <w:t>Beit Ha-Levi</w:t>
      </w:r>
      <w:r>
        <w:rPr>
          <w:sz w:val="24"/>
          <w:szCs w:val="24"/>
        </w:rPr>
        <w:t xml:space="preserve"> (1:6) and </w:t>
      </w:r>
      <w:r w:rsidR="00A256BC" w:rsidRPr="00A256BC">
        <w:rPr>
          <w:i/>
          <w:sz w:val="24"/>
          <w:szCs w:val="24"/>
        </w:rPr>
        <w:t>Avnei Nezer</w:t>
      </w:r>
      <w:r>
        <w:rPr>
          <w:sz w:val="24"/>
          <w:szCs w:val="24"/>
        </w:rPr>
        <w:t xml:space="preserve"> (</w:t>
      </w:r>
      <w:r w:rsidR="00A256BC" w:rsidRPr="00A256BC">
        <w:rPr>
          <w:i/>
          <w:sz w:val="24"/>
          <w:szCs w:val="24"/>
        </w:rPr>
        <w:t>YD</w:t>
      </w:r>
      <w:r>
        <w:rPr>
          <w:sz w:val="24"/>
          <w:szCs w:val="24"/>
        </w:rPr>
        <w:t xml:space="preserve"> 352) maintain the former</w:t>
      </w:r>
      <w:r w:rsidR="00A256BC">
        <w:rPr>
          <w:sz w:val="24"/>
          <w:szCs w:val="24"/>
        </w:rPr>
        <w:t xml:space="preserve"> view</w:t>
      </w:r>
      <w:r>
        <w:rPr>
          <w:sz w:val="24"/>
          <w:szCs w:val="24"/>
        </w:rPr>
        <w:t xml:space="preserve">. In the </w:t>
      </w:r>
      <w:r w:rsidR="00A256BC" w:rsidRPr="00A256BC">
        <w:rPr>
          <w:i/>
          <w:sz w:val="24"/>
          <w:szCs w:val="24"/>
        </w:rPr>
        <w:t>Beit Ha-Levi</w:t>
      </w:r>
      <w:r>
        <w:rPr>
          <w:sz w:val="24"/>
          <w:szCs w:val="24"/>
        </w:rPr>
        <w:t>’s formulation, women</w:t>
      </w:r>
      <w:r w:rsidR="007E1ED6">
        <w:rPr>
          <w:sz w:val="24"/>
          <w:szCs w:val="24"/>
        </w:rPr>
        <w:t xml:space="preserve">’s study of relevant laws is </w:t>
      </w:r>
      <w:r>
        <w:rPr>
          <w:sz w:val="24"/>
          <w:szCs w:val="24"/>
        </w:rPr>
        <w:t xml:space="preserve">merely </w:t>
      </w:r>
      <w:r w:rsidR="007E1ED6">
        <w:rPr>
          <w:sz w:val="24"/>
          <w:szCs w:val="24"/>
        </w:rPr>
        <w:t xml:space="preserve">a </w:t>
      </w:r>
      <w:r>
        <w:rPr>
          <w:i/>
          <w:sz w:val="24"/>
          <w:szCs w:val="24"/>
        </w:rPr>
        <w:t>hekhsher mitzva</w:t>
      </w:r>
      <w:r>
        <w:rPr>
          <w:sz w:val="24"/>
          <w:szCs w:val="24"/>
        </w:rPr>
        <w:t xml:space="preserve">, </w:t>
      </w:r>
      <w:r w:rsidR="00A256BC">
        <w:rPr>
          <w:sz w:val="24"/>
          <w:szCs w:val="24"/>
        </w:rPr>
        <w:t>preparation</w:t>
      </w:r>
      <w:r w:rsidR="007E1ED6">
        <w:rPr>
          <w:sz w:val="24"/>
          <w:szCs w:val="24"/>
        </w:rPr>
        <w:t xml:space="preserve"> to fulfill the commandment</w:t>
      </w:r>
      <w:r>
        <w:rPr>
          <w:sz w:val="24"/>
          <w:szCs w:val="24"/>
        </w:rPr>
        <w:t xml:space="preserve">. That they are obligated to study these </w:t>
      </w:r>
      <w:r>
        <w:rPr>
          <w:i/>
          <w:sz w:val="24"/>
          <w:szCs w:val="24"/>
        </w:rPr>
        <w:t>halakhot</w:t>
      </w:r>
      <w:r>
        <w:rPr>
          <w:sz w:val="24"/>
          <w:szCs w:val="24"/>
        </w:rPr>
        <w:t xml:space="preserve"> has no bearing on the </w:t>
      </w:r>
      <w:r>
        <w:rPr>
          <w:iCs/>
          <w:sz w:val="24"/>
          <w:szCs w:val="24"/>
        </w:rPr>
        <w:t>mitzva</w:t>
      </w:r>
      <w:r w:rsidR="007E1ED6">
        <w:rPr>
          <w:sz w:val="24"/>
          <w:szCs w:val="24"/>
        </w:rPr>
        <w:t xml:space="preserve"> of </w:t>
      </w:r>
      <w:r w:rsidR="00A256BC" w:rsidRPr="00A256BC">
        <w:rPr>
          <w:i/>
          <w:sz w:val="24"/>
          <w:szCs w:val="24"/>
        </w:rPr>
        <w:t>talmud Torah</w:t>
      </w:r>
      <w:r>
        <w:rPr>
          <w:sz w:val="24"/>
          <w:szCs w:val="24"/>
        </w:rPr>
        <w:t xml:space="preserve"> per </w:t>
      </w:r>
      <w:r w:rsidR="007E1ED6">
        <w:rPr>
          <w:sz w:val="24"/>
          <w:szCs w:val="24"/>
        </w:rPr>
        <w:t>se</w:t>
      </w:r>
      <w:r>
        <w:rPr>
          <w:sz w:val="24"/>
          <w:szCs w:val="24"/>
        </w:rPr>
        <w:t xml:space="preserve">. </w:t>
      </w:r>
    </w:p>
    <w:p w:rsidR="00CB40FD" w:rsidRDefault="00CB40FD" w:rsidP="005B537A">
      <w:pPr>
        <w:spacing w:line="240" w:lineRule="auto"/>
        <w:jc w:val="both"/>
        <w:rPr>
          <w:sz w:val="24"/>
          <w:szCs w:val="24"/>
        </w:rPr>
      </w:pPr>
    </w:p>
    <w:p w:rsidR="00CB40FD" w:rsidRDefault="00A256BC" w:rsidP="005B537A">
      <w:pPr>
        <w:spacing w:line="240" w:lineRule="auto"/>
        <w:jc w:val="both"/>
        <w:rPr>
          <w:sz w:val="24"/>
          <w:szCs w:val="24"/>
        </w:rPr>
      </w:pPr>
      <w:r w:rsidRPr="00A256BC">
        <w:rPr>
          <w:i/>
          <w:sz w:val="24"/>
          <w:szCs w:val="24"/>
        </w:rPr>
        <w:t>Beit Yosef</w:t>
      </w:r>
      <w:r w:rsidR="00CB40FD">
        <w:rPr>
          <w:sz w:val="24"/>
          <w:szCs w:val="24"/>
        </w:rPr>
        <w:t xml:space="preserve"> (</w:t>
      </w:r>
      <w:r w:rsidRPr="00A256BC">
        <w:rPr>
          <w:i/>
          <w:sz w:val="24"/>
          <w:szCs w:val="24"/>
        </w:rPr>
        <w:t>OC</w:t>
      </w:r>
      <w:r w:rsidR="00CB40FD">
        <w:rPr>
          <w:sz w:val="24"/>
          <w:szCs w:val="24"/>
        </w:rPr>
        <w:t xml:space="preserve"> 47) disagrees, arguing that women are obligated in </w:t>
      </w:r>
      <w:r>
        <w:rPr>
          <w:i/>
          <w:sz w:val="24"/>
          <w:szCs w:val="24"/>
        </w:rPr>
        <w:t>t</w:t>
      </w:r>
      <w:r w:rsidRPr="00A256BC">
        <w:rPr>
          <w:i/>
          <w:sz w:val="24"/>
          <w:szCs w:val="24"/>
        </w:rPr>
        <w:t>almud Torah</w:t>
      </w:r>
      <w:r w:rsidR="00CB40FD">
        <w:rPr>
          <w:sz w:val="24"/>
          <w:szCs w:val="24"/>
        </w:rPr>
        <w:t xml:space="preserve"> vis-a-vis practically-oriented </w:t>
      </w:r>
      <w:r w:rsidR="00CB40FD">
        <w:rPr>
          <w:i/>
          <w:sz w:val="24"/>
          <w:szCs w:val="24"/>
        </w:rPr>
        <w:t>mitzvot</w:t>
      </w:r>
      <w:r w:rsidR="00CB40FD">
        <w:rPr>
          <w:sz w:val="24"/>
          <w:szCs w:val="24"/>
        </w:rPr>
        <w:t xml:space="preserve">. On this basis, </w:t>
      </w:r>
      <w:r w:rsidRPr="00A256BC">
        <w:rPr>
          <w:i/>
          <w:sz w:val="24"/>
          <w:szCs w:val="24"/>
        </w:rPr>
        <w:t>Beit Yosef</w:t>
      </w:r>
      <w:r w:rsidR="00CB40FD">
        <w:rPr>
          <w:sz w:val="24"/>
          <w:szCs w:val="24"/>
        </w:rPr>
        <w:t xml:space="preserve"> rules that whereas women are generally not permitted to recite </w:t>
      </w:r>
      <w:r w:rsidR="00CB40FD">
        <w:rPr>
          <w:i/>
          <w:sz w:val="24"/>
          <w:szCs w:val="24"/>
        </w:rPr>
        <w:t xml:space="preserve">birkhot ha-mitzva </w:t>
      </w:r>
      <w:r w:rsidR="00CB40FD">
        <w:rPr>
          <w:sz w:val="24"/>
          <w:szCs w:val="24"/>
        </w:rPr>
        <w:t xml:space="preserve">upon a mitzva from which they are exempted, they nonetheless are obligated to recite </w:t>
      </w:r>
      <w:r w:rsidR="007E1ED6">
        <w:rPr>
          <w:i/>
          <w:sz w:val="24"/>
          <w:szCs w:val="24"/>
        </w:rPr>
        <w:t>Birkhot H</w:t>
      </w:r>
      <w:r w:rsidR="00CB40FD">
        <w:rPr>
          <w:i/>
          <w:sz w:val="24"/>
          <w:szCs w:val="24"/>
        </w:rPr>
        <w:t>a-Torah</w:t>
      </w:r>
      <w:r w:rsidR="00CB40FD">
        <w:rPr>
          <w:sz w:val="24"/>
          <w:szCs w:val="24"/>
        </w:rPr>
        <w:t xml:space="preserve"> prior to Torah study. </w:t>
      </w:r>
      <w:r w:rsidRPr="00A256BC">
        <w:rPr>
          <w:i/>
          <w:sz w:val="24"/>
          <w:szCs w:val="24"/>
        </w:rPr>
        <w:t>Beit Yosef</w:t>
      </w:r>
      <w:r w:rsidR="00CB40FD">
        <w:rPr>
          <w:sz w:val="24"/>
          <w:szCs w:val="24"/>
        </w:rPr>
        <w:t xml:space="preserve">’s ruling is predicated on the assumption that there are two aspects of the mitzva of </w:t>
      </w:r>
      <w:r w:rsidRPr="00A256BC">
        <w:rPr>
          <w:i/>
          <w:sz w:val="24"/>
          <w:szCs w:val="24"/>
        </w:rPr>
        <w:t>talmud Torah</w:t>
      </w:r>
      <w:r w:rsidR="00CB40FD">
        <w:rPr>
          <w:sz w:val="24"/>
          <w:szCs w:val="24"/>
        </w:rPr>
        <w:t xml:space="preserve">: Torah for its own sake, and Torah for the sake of mitzva observance. When the Gemara </w:t>
      </w:r>
      <w:r w:rsidRPr="00A256BC">
        <w:rPr>
          <w:i/>
          <w:sz w:val="24"/>
          <w:szCs w:val="24"/>
        </w:rPr>
        <w:t>Kiddushin</w:t>
      </w:r>
      <w:r w:rsidR="00CB40FD">
        <w:rPr>
          <w:sz w:val="24"/>
          <w:szCs w:val="24"/>
        </w:rPr>
        <w:t xml:space="preserve"> exempts women from the obligation of </w:t>
      </w:r>
      <w:r w:rsidRPr="00A256BC">
        <w:rPr>
          <w:i/>
          <w:sz w:val="24"/>
          <w:szCs w:val="24"/>
        </w:rPr>
        <w:t>talmud Torah</w:t>
      </w:r>
      <w:r w:rsidR="00CB40FD">
        <w:rPr>
          <w:sz w:val="24"/>
          <w:szCs w:val="24"/>
        </w:rPr>
        <w:t>, i</w:t>
      </w:r>
      <w:r w:rsidR="007E1ED6">
        <w:rPr>
          <w:sz w:val="24"/>
          <w:szCs w:val="24"/>
        </w:rPr>
        <w:t>t does</w:t>
      </w:r>
      <w:r w:rsidR="00CB40FD">
        <w:rPr>
          <w:sz w:val="24"/>
          <w:szCs w:val="24"/>
        </w:rPr>
        <w:t xml:space="preserve"> so merely in regard to the former, namely the intrinsic obligation of Torah study. According to </w:t>
      </w:r>
      <w:r w:rsidRPr="00A256BC">
        <w:rPr>
          <w:i/>
          <w:sz w:val="24"/>
          <w:szCs w:val="24"/>
        </w:rPr>
        <w:t>Sefer Chasidim</w:t>
      </w:r>
      <w:r>
        <w:rPr>
          <w:sz w:val="24"/>
          <w:szCs w:val="24"/>
        </w:rPr>
        <w:t xml:space="preserve"> and Re</w:t>
      </w:r>
      <w:r w:rsidR="00CB40FD">
        <w:rPr>
          <w:sz w:val="24"/>
          <w:szCs w:val="24"/>
        </w:rPr>
        <w:t xml:space="preserve">ma, they </w:t>
      </w:r>
      <w:r>
        <w:rPr>
          <w:sz w:val="24"/>
          <w:szCs w:val="24"/>
        </w:rPr>
        <w:t>remain obligated in the practice</w:t>
      </w:r>
      <w:r w:rsidR="00CB40FD">
        <w:rPr>
          <w:sz w:val="24"/>
          <w:szCs w:val="24"/>
        </w:rPr>
        <w:t xml:space="preserve">-oriented dimension of this mitzva. </w:t>
      </w:r>
    </w:p>
    <w:p w:rsidR="00CB40FD" w:rsidRDefault="00CB40FD" w:rsidP="005B537A">
      <w:pPr>
        <w:spacing w:line="240" w:lineRule="auto"/>
        <w:jc w:val="both"/>
        <w:rPr>
          <w:sz w:val="24"/>
          <w:szCs w:val="24"/>
        </w:rPr>
      </w:pPr>
    </w:p>
    <w:p w:rsidR="00CB40FD" w:rsidRDefault="00A256BC" w:rsidP="005B537A">
      <w:pPr>
        <w:spacing w:line="240" w:lineRule="auto"/>
        <w:jc w:val="both"/>
        <w:rPr>
          <w:sz w:val="24"/>
          <w:szCs w:val="24"/>
        </w:rPr>
      </w:pPr>
      <w:r>
        <w:rPr>
          <w:sz w:val="24"/>
          <w:szCs w:val="24"/>
        </w:rPr>
        <w:lastRenderedPageBreak/>
        <w:t>Professor Zev Harvey offers a</w:t>
      </w:r>
      <w:r w:rsidR="00CB40FD">
        <w:rPr>
          <w:sz w:val="24"/>
          <w:szCs w:val="24"/>
        </w:rPr>
        <w:t>nother significant, if not entirely convincing, sugg</w:t>
      </w:r>
      <w:r w:rsidR="007E1ED6">
        <w:rPr>
          <w:sz w:val="24"/>
          <w:szCs w:val="24"/>
        </w:rPr>
        <w:t>estion along sim</w:t>
      </w:r>
      <w:r>
        <w:rPr>
          <w:sz w:val="24"/>
          <w:szCs w:val="24"/>
        </w:rPr>
        <w:t>ilar lines, in an article origina</w:t>
      </w:r>
      <w:r w:rsidR="00CB40FD">
        <w:rPr>
          <w:sz w:val="24"/>
          <w:szCs w:val="24"/>
        </w:rPr>
        <w:t>lly published in 1981</w:t>
      </w:r>
      <w:r w:rsidR="00195277">
        <w:rPr>
          <w:sz w:val="24"/>
          <w:szCs w:val="24"/>
        </w:rPr>
        <w:t>.</w:t>
      </w:r>
      <w:r w:rsidR="00CB40FD">
        <w:rPr>
          <w:sz w:val="24"/>
          <w:szCs w:val="24"/>
          <w:vertAlign w:val="superscript"/>
        </w:rPr>
        <w:footnoteReference w:id="1"/>
      </w:r>
      <w:r w:rsidR="00CB40FD">
        <w:rPr>
          <w:sz w:val="24"/>
          <w:szCs w:val="24"/>
        </w:rPr>
        <w:t xml:space="preserve"> Professor Harvey points to an apparent contradiction regarding the position of Rambam. On the one hand, Rambam clearly rules that women, general</w:t>
      </w:r>
      <w:r>
        <w:rPr>
          <w:sz w:val="24"/>
          <w:szCs w:val="24"/>
        </w:rPr>
        <w:t>ly speaking</w:t>
      </w:r>
      <w:r w:rsidR="00CB40FD">
        <w:rPr>
          <w:sz w:val="24"/>
          <w:szCs w:val="24"/>
        </w:rPr>
        <w:t xml:space="preserve">, ought not be taught Torah. At the same time, Rambam maintains that study of </w:t>
      </w:r>
      <w:r>
        <w:rPr>
          <w:iCs/>
          <w:sz w:val="24"/>
          <w:szCs w:val="24"/>
        </w:rPr>
        <w:t>H</w:t>
      </w:r>
      <w:r w:rsidR="00CB40FD">
        <w:rPr>
          <w:iCs/>
          <w:sz w:val="24"/>
          <w:szCs w:val="24"/>
        </w:rPr>
        <w:t>alakha</w:t>
      </w:r>
      <w:r w:rsidR="00CB40FD">
        <w:rPr>
          <w:sz w:val="24"/>
          <w:szCs w:val="24"/>
        </w:rPr>
        <w:t xml:space="preserve">, which “everyone may know, small and great, man and woman, </w:t>
      </w:r>
      <w:r w:rsidR="00195277">
        <w:rPr>
          <w:sz w:val="24"/>
          <w:szCs w:val="24"/>
        </w:rPr>
        <w:t>the broad-minded and the narrow-minded</w:t>
      </w:r>
      <w:r w:rsidR="00F054DD">
        <w:rPr>
          <w:sz w:val="24"/>
          <w:szCs w:val="24"/>
        </w:rPr>
        <w:t>,</w:t>
      </w:r>
      <w:r w:rsidR="00CB40FD">
        <w:rPr>
          <w:sz w:val="24"/>
          <w:szCs w:val="24"/>
        </w:rPr>
        <w:t>” is a necessary prerequisite for the study of metaphysics (</w:t>
      </w:r>
      <w:r>
        <w:rPr>
          <w:i/>
          <w:sz w:val="24"/>
          <w:szCs w:val="24"/>
        </w:rPr>
        <w:t>Hilkhot Y</w:t>
      </w:r>
      <w:r w:rsidR="00CB40FD">
        <w:rPr>
          <w:i/>
          <w:sz w:val="24"/>
          <w:szCs w:val="24"/>
        </w:rPr>
        <w:t>esodei Ha-Torah</w:t>
      </w:r>
      <w:r w:rsidR="00CB40FD">
        <w:rPr>
          <w:sz w:val="24"/>
          <w:szCs w:val="24"/>
        </w:rPr>
        <w:t xml:space="preserve"> 4:13). In this passage, Rambam </w:t>
      </w:r>
      <w:r w:rsidR="00F054DD">
        <w:rPr>
          <w:sz w:val="24"/>
          <w:szCs w:val="24"/>
        </w:rPr>
        <w:t xml:space="preserve">suggests that women can access </w:t>
      </w:r>
      <w:r w:rsidRPr="00A256BC">
        <w:rPr>
          <w:i/>
          <w:sz w:val="24"/>
          <w:szCs w:val="24"/>
        </w:rPr>
        <w:t>talmud Torah</w:t>
      </w:r>
      <w:r w:rsidR="00CB40FD">
        <w:rPr>
          <w:sz w:val="24"/>
          <w:szCs w:val="24"/>
        </w:rPr>
        <w:t xml:space="preserve"> on a high level. What is more, such study is a crucial starting point on the path toward achieving the love of God, a mitzva in which women are obligated. Harvey argues that apparently, there must be some distinction that Rambam intends to draw, and that, far from prohibiting or even exempting women entirely from the obligation to study, Rambam in fact obligates women in study on the basis on the </w:t>
      </w:r>
      <w:r w:rsidR="00CB40FD">
        <w:rPr>
          <w:iCs/>
          <w:sz w:val="24"/>
          <w:szCs w:val="24"/>
        </w:rPr>
        <w:t>mitzva</w:t>
      </w:r>
      <w:r w:rsidR="00CB40FD">
        <w:rPr>
          <w:sz w:val="24"/>
          <w:szCs w:val="24"/>
        </w:rPr>
        <w:t xml:space="preserve"> of </w:t>
      </w:r>
      <w:r w:rsidR="00CB40FD">
        <w:rPr>
          <w:i/>
          <w:sz w:val="24"/>
          <w:szCs w:val="24"/>
        </w:rPr>
        <w:t>ahavat Hashem</w:t>
      </w:r>
      <w:r w:rsidR="00CB40FD">
        <w:rPr>
          <w:sz w:val="24"/>
          <w:szCs w:val="24"/>
        </w:rPr>
        <w:t xml:space="preserve">. As to the precise nature of Rambam’s distinction, Harvey leaves that question open. </w:t>
      </w:r>
    </w:p>
    <w:p w:rsidR="00CB40FD" w:rsidRDefault="00CB40FD" w:rsidP="005B537A">
      <w:pPr>
        <w:spacing w:line="240" w:lineRule="auto"/>
        <w:jc w:val="both"/>
        <w:rPr>
          <w:sz w:val="24"/>
          <w:szCs w:val="24"/>
        </w:rPr>
      </w:pPr>
    </w:p>
    <w:p w:rsidR="00CB40FD" w:rsidRDefault="00CB40FD" w:rsidP="005B537A">
      <w:pPr>
        <w:spacing w:line="240" w:lineRule="auto"/>
        <w:jc w:val="both"/>
        <w:rPr>
          <w:sz w:val="24"/>
          <w:szCs w:val="24"/>
        </w:rPr>
      </w:pPr>
      <w:r>
        <w:rPr>
          <w:sz w:val="24"/>
          <w:szCs w:val="24"/>
        </w:rPr>
        <w:t xml:space="preserve">In truth, Professor Harvey’s reading of Rambam seems strained. It is difficult to see how Rambam would write so negatively regarding women and Torah study in </w:t>
      </w:r>
      <w:r>
        <w:rPr>
          <w:i/>
          <w:sz w:val="24"/>
          <w:szCs w:val="24"/>
        </w:rPr>
        <w:t xml:space="preserve">Hilkhot </w:t>
      </w:r>
      <w:r w:rsidR="00A256BC" w:rsidRPr="00A256BC">
        <w:rPr>
          <w:i/>
          <w:sz w:val="24"/>
          <w:szCs w:val="24"/>
        </w:rPr>
        <w:t>Talmud Torah</w:t>
      </w:r>
      <w:r w:rsidR="00F054DD">
        <w:rPr>
          <w:sz w:val="24"/>
          <w:szCs w:val="24"/>
        </w:rPr>
        <w:t xml:space="preserve"> (1:13) if he intends</w:t>
      </w:r>
      <w:r>
        <w:rPr>
          <w:sz w:val="24"/>
          <w:szCs w:val="24"/>
        </w:rPr>
        <w:t xml:space="preserve"> to obligate women in some parts of the obligation of</w:t>
      </w:r>
      <w:r w:rsidR="00A256BC">
        <w:rPr>
          <w:sz w:val="24"/>
          <w:szCs w:val="24"/>
        </w:rPr>
        <w:t xml:space="preserve"> Torah study</w:t>
      </w:r>
      <w:r>
        <w:rPr>
          <w:sz w:val="24"/>
          <w:szCs w:val="24"/>
        </w:rPr>
        <w:t xml:space="preserve">. </w:t>
      </w:r>
      <w:r w:rsidR="00F054DD">
        <w:rPr>
          <w:sz w:val="24"/>
          <w:szCs w:val="24"/>
        </w:rPr>
        <w:t xml:space="preserve">Since </w:t>
      </w:r>
      <w:r w:rsidR="00F054DD">
        <w:rPr>
          <w:i/>
          <w:iCs/>
          <w:sz w:val="24"/>
          <w:szCs w:val="24"/>
        </w:rPr>
        <w:t xml:space="preserve">Hilkhot </w:t>
      </w:r>
      <w:r w:rsidR="00A256BC" w:rsidRPr="00A256BC">
        <w:rPr>
          <w:i/>
          <w:iCs/>
          <w:sz w:val="24"/>
          <w:szCs w:val="24"/>
        </w:rPr>
        <w:t>Talmud Torah</w:t>
      </w:r>
      <w:r w:rsidR="00F054DD">
        <w:rPr>
          <w:sz w:val="24"/>
          <w:szCs w:val="24"/>
        </w:rPr>
        <w:t xml:space="preserve"> is dedicated to the topic, why would he leave his true thought</w:t>
      </w:r>
      <w:r w:rsidR="00A256BC">
        <w:rPr>
          <w:sz w:val="24"/>
          <w:szCs w:val="24"/>
        </w:rPr>
        <w:t>s</w:t>
      </w:r>
      <w:r w:rsidR="00F054DD">
        <w:rPr>
          <w:sz w:val="24"/>
          <w:szCs w:val="24"/>
        </w:rPr>
        <w:t xml:space="preserve"> on the matter for the </w:t>
      </w:r>
      <w:r w:rsidR="00A256BC">
        <w:rPr>
          <w:sz w:val="24"/>
          <w:szCs w:val="24"/>
        </w:rPr>
        <w:t>esoteric</w:t>
      </w:r>
      <w:r w:rsidR="00F054DD">
        <w:rPr>
          <w:sz w:val="24"/>
          <w:szCs w:val="24"/>
        </w:rPr>
        <w:t xml:space="preserve"> </w:t>
      </w:r>
      <w:r w:rsidR="00354990">
        <w:rPr>
          <w:i/>
          <w:sz w:val="24"/>
          <w:szCs w:val="24"/>
        </w:rPr>
        <w:t xml:space="preserve">Hilkhot </w:t>
      </w:r>
      <w:r>
        <w:rPr>
          <w:i/>
          <w:sz w:val="24"/>
          <w:szCs w:val="24"/>
        </w:rPr>
        <w:t>Yesodei Ha-Torah</w:t>
      </w:r>
      <w:r w:rsidR="00F054DD">
        <w:rPr>
          <w:i/>
          <w:sz w:val="24"/>
          <w:szCs w:val="24"/>
        </w:rPr>
        <w:t>?</w:t>
      </w:r>
      <w:r>
        <w:rPr>
          <w:sz w:val="24"/>
          <w:szCs w:val="24"/>
        </w:rPr>
        <w:t xml:space="preserve"> More likely, Rambam means to say that women can achieve a basic level of understanding of </w:t>
      </w:r>
      <w:r w:rsidR="00F054DD">
        <w:rPr>
          <w:iCs/>
          <w:sz w:val="24"/>
          <w:szCs w:val="24"/>
        </w:rPr>
        <w:t>H</w:t>
      </w:r>
      <w:r>
        <w:rPr>
          <w:iCs/>
          <w:sz w:val="24"/>
          <w:szCs w:val="24"/>
        </w:rPr>
        <w:t>alakha</w:t>
      </w:r>
      <w:r>
        <w:rPr>
          <w:sz w:val="24"/>
          <w:szCs w:val="24"/>
        </w:rPr>
        <w:t xml:space="preserve">, but that, at least in Rambam’s time, they were likely to misconstrue that meaning and therefore, as a general rule, should not be taught </w:t>
      </w:r>
      <w:r w:rsidR="00F054DD" w:rsidRPr="00F054DD">
        <w:rPr>
          <w:iCs/>
          <w:sz w:val="24"/>
          <w:szCs w:val="24"/>
        </w:rPr>
        <w:t>H</w:t>
      </w:r>
      <w:r w:rsidRPr="00F054DD">
        <w:rPr>
          <w:iCs/>
          <w:sz w:val="24"/>
          <w:szCs w:val="24"/>
        </w:rPr>
        <w:t>alakha</w:t>
      </w:r>
      <w:r>
        <w:rPr>
          <w:sz w:val="24"/>
          <w:szCs w:val="24"/>
        </w:rPr>
        <w:t xml:space="preserve">. </w:t>
      </w:r>
    </w:p>
    <w:p w:rsidR="00CB40FD" w:rsidRDefault="00CB40FD" w:rsidP="005B537A">
      <w:pPr>
        <w:spacing w:line="240" w:lineRule="auto"/>
        <w:jc w:val="both"/>
        <w:rPr>
          <w:sz w:val="24"/>
          <w:szCs w:val="24"/>
        </w:rPr>
      </w:pPr>
    </w:p>
    <w:p w:rsidR="00CB40FD" w:rsidRDefault="00CB40FD" w:rsidP="005B537A">
      <w:pPr>
        <w:spacing w:line="240" w:lineRule="auto"/>
        <w:jc w:val="both"/>
        <w:rPr>
          <w:sz w:val="24"/>
          <w:szCs w:val="24"/>
        </w:rPr>
      </w:pPr>
      <w:r>
        <w:rPr>
          <w:sz w:val="24"/>
          <w:szCs w:val="24"/>
        </w:rPr>
        <w:t>Still, Profess</w:t>
      </w:r>
      <w:r w:rsidR="00F054DD">
        <w:rPr>
          <w:sz w:val="24"/>
          <w:szCs w:val="24"/>
        </w:rPr>
        <w:t xml:space="preserve">or Harvey’s larger point about </w:t>
      </w:r>
      <w:r w:rsidR="00A256BC" w:rsidRPr="00A256BC">
        <w:rPr>
          <w:i/>
          <w:sz w:val="24"/>
          <w:szCs w:val="24"/>
        </w:rPr>
        <w:t>talmud Torah</w:t>
      </w:r>
      <w:r>
        <w:rPr>
          <w:sz w:val="24"/>
          <w:szCs w:val="24"/>
        </w:rPr>
        <w:t xml:space="preserve"> and </w:t>
      </w:r>
      <w:r>
        <w:rPr>
          <w:i/>
          <w:sz w:val="24"/>
          <w:szCs w:val="24"/>
        </w:rPr>
        <w:t>ahavat Hashem</w:t>
      </w:r>
      <w:r>
        <w:rPr>
          <w:sz w:val="24"/>
          <w:szCs w:val="24"/>
        </w:rPr>
        <w:t xml:space="preserve"> remains. One might argue that once we make the claim that women may be </w:t>
      </w:r>
      <w:r>
        <w:rPr>
          <w:sz w:val="24"/>
          <w:szCs w:val="24"/>
        </w:rPr>
        <w:lastRenderedPageBreak/>
        <w:t xml:space="preserve">taught </w:t>
      </w:r>
      <w:r w:rsidR="00F054DD">
        <w:rPr>
          <w:i/>
          <w:sz w:val="24"/>
          <w:szCs w:val="24"/>
        </w:rPr>
        <w:t>Torah She-be’al P</w:t>
      </w:r>
      <w:r>
        <w:rPr>
          <w:i/>
          <w:sz w:val="24"/>
          <w:szCs w:val="24"/>
        </w:rPr>
        <w:t>eh</w:t>
      </w:r>
      <w:r>
        <w:rPr>
          <w:sz w:val="24"/>
          <w:szCs w:val="24"/>
        </w:rPr>
        <w:t xml:space="preserve"> in contemporary times, women who study Torah </w:t>
      </w:r>
      <w:r w:rsidR="00F054DD">
        <w:rPr>
          <w:sz w:val="24"/>
          <w:szCs w:val="24"/>
        </w:rPr>
        <w:t xml:space="preserve">fulfill not only the mitzva of </w:t>
      </w:r>
      <w:r w:rsidR="00A256BC" w:rsidRPr="00A256BC">
        <w:rPr>
          <w:i/>
          <w:sz w:val="24"/>
          <w:szCs w:val="24"/>
        </w:rPr>
        <w:t>talmud Torah</w:t>
      </w:r>
      <w:r>
        <w:rPr>
          <w:sz w:val="24"/>
          <w:szCs w:val="24"/>
        </w:rPr>
        <w:t xml:space="preserve"> but also that of </w:t>
      </w:r>
      <w:r>
        <w:rPr>
          <w:i/>
          <w:sz w:val="24"/>
          <w:szCs w:val="24"/>
        </w:rPr>
        <w:t>ahavat Hashem</w:t>
      </w:r>
      <w:r>
        <w:rPr>
          <w:sz w:val="24"/>
          <w:szCs w:val="24"/>
        </w:rPr>
        <w:t xml:space="preserve">. What is more, as we demonstrated in previous </w:t>
      </w:r>
      <w:r w:rsidR="00874FEC" w:rsidRPr="00874FEC">
        <w:rPr>
          <w:i/>
          <w:sz w:val="24"/>
          <w:szCs w:val="24"/>
        </w:rPr>
        <w:t>shiur</w:t>
      </w:r>
      <w:r>
        <w:rPr>
          <w:i/>
          <w:sz w:val="24"/>
          <w:szCs w:val="24"/>
        </w:rPr>
        <w:t>im</w:t>
      </w:r>
      <w:r>
        <w:rPr>
          <w:sz w:val="24"/>
          <w:szCs w:val="24"/>
        </w:rPr>
        <w:t>, for Rambam and others, love of God is an essential component of the mitzva</w:t>
      </w:r>
      <w:r>
        <w:rPr>
          <w:i/>
          <w:sz w:val="24"/>
          <w:szCs w:val="24"/>
        </w:rPr>
        <w:t xml:space="preserve"> </w:t>
      </w:r>
      <w:r>
        <w:rPr>
          <w:sz w:val="24"/>
          <w:szCs w:val="24"/>
        </w:rPr>
        <w:t xml:space="preserve">of Torah study. Thus, from the perspective of </w:t>
      </w:r>
      <w:r>
        <w:rPr>
          <w:i/>
          <w:sz w:val="24"/>
          <w:szCs w:val="24"/>
        </w:rPr>
        <w:t>ahavat Hashem</w:t>
      </w:r>
      <w:r>
        <w:rPr>
          <w:sz w:val="24"/>
          <w:szCs w:val="24"/>
        </w:rPr>
        <w:t>, we can make the</w:t>
      </w:r>
      <w:r w:rsidR="00F054DD">
        <w:rPr>
          <w:sz w:val="24"/>
          <w:szCs w:val="24"/>
        </w:rPr>
        <w:t xml:space="preserve"> argument that women ought to — and do — </w:t>
      </w:r>
      <w:r>
        <w:rPr>
          <w:sz w:val="24"/>
          <w:szCs w:val="24"/>
        </w:rPr>
        <w:t>have an essential share in this mitzva.</w:t>
      </w:r>
      <w:r>
        <w:rPr>
          <w:sz w:val="24"/>
          <w:szCs w:val="24"/>
          <w:vertAlign w:val="superscript"/>
        </w:rPr>
        <w:footnoteReference w:id="2"/>
      </w:r>
      <w:r>
        <w:rPr>
          <w:sz w:val="24"/>
          <w:szCs w:val="24"/>
        </w:rPr>
        <w:t xml:space="preserve">  </w:t>
      </w:r>
    </w:p>
    <w:p w:rsidR="002C39D2" w:rsidRDefault="002C39D2" w:rsidP="005B537A">
      <w:pPr>
        <w:spacing w:line="240" w:lineRule="auto"/>
        <w:jc w:val="both"/>
        <w:rPr>
          <w:sz w:val="24"/>
          <w:szCs w:val="24"/>
        </w:rPr>
      </w:pPr>
    </w:p>
    <w:p w:rsidR="00CB40FD" w:rsidRDefault="00CB40FD" w:rsidP="005B537A">
      <w:pPr>
        <w:spacing w:line="240" w:lineRule="auto"/>
        <w:jc w:val="both"/>
        <w:rPr>
          <w:b/>
          <w:sz w:val="24"/>
          <w:szCs w:val="24"/>
        </w:rPr>
      </w:pPr>
      <w:r>
        <w:rPr>
          <w:b/>
          <w:sz w:val="24"/>
          <w:szCs w:val="24"/>
        </w:rPr>
        <w:t>Children</w:t>
      </w:r>
    </w:p>
    <w:p w:rsidR="00CB40FD" w:rsidRDefault="00CB40FD" w:rsidP="005B537A">
      <w:pPr>
        <w:spacing w:line="240" w:lineRule="auto"/>
        <w:jc w:val="both"/>
        <w:rPr>
          <w:sz w:val="24"/>
          <w:szCs w:val="24"/>
        </w:rPr>
      </w:pPr>
    </w:p>
    <w:p w:rsidR="00CB40FD" w:rsidRDefault="00F054DD" w:rsidP="005B537A">
      <w:pPr>
        <w:spacing w:line="240" w:lineRule="auto"/>
        <w:jc w:val="both"/>
        <w:rPr>
          <w:sz w:val="24"/>
          <w:szCs w:val="24"/>
        </w:rPr>
      </w:pPr>
      <w:r>
        <w:rPr>
          <w:sz w:val="24"/>
          <w:szCs w:val="24"/>
        </w:rPr>
        <w:t xml:space="preserve">All minors are exempt from </w:t>
      </w:r>
      <w:r w:rsidRPr="00F054DD">
        <w:rPr>
          <w:i/>
          <w:iCs/>
          <w:sz w:val="24"/>
          <w:szCs w:val="24"/>
        </w:rPr>
        <w:t>mitzvot</w:t>
      </w:r>
      <w:r>
        <w:rPr>
          <w:sz w:val="24"/>
          <w:szCs w:val="24"/>
        </w:rPr>
        <w:t xml:space="preserve">, but as we have seen, </w:t>
      </w:r>
      <w:r w:rsidR="00A256BC" w:rsidRPr="00A256BC">
        <w:rPr>
          <w:i/>
          <w:sz w:val="24"/>
          <w:szCs w:val="24"/>
        </w:rPr>
        <w:t>talmud Torah</w:t>
      </w:r>
      <w:r>
        <w:rPr>
          <w:sz w:val="24"/>
          <w:szCs w:val="24"/>
        </w:rPr>
        <w:t xml:space="preserve"> is </w:t>
      </w:r>
      <w:r w:rsidR="00A256BC">
        <w:rPr>
          <w:sz w:val="24"/>
          <w:szCs w:val="24"/>
        </w:rPr>
        <w:t>special</w:t>
      </w:r>
      <w:r w:rsidR="00CB40FD">
        <w:rPr>
          <w:sz w:val="24"/>
          <w:szCs w:val="24"/>
        </w:rPr>
        <w:t>. The study of children is lauded by the Gemara as being of the utmost significance. In the final quarter of the day, God Himself studies with children (</w:t>
      </w:r>
      <w:r w:rsidR="00CB40FD">
        <w:rPr>
          <w:i/>
          <w:sz w:val="24"/>
          <w:szCs w:val="24"/>
        </w:rPr>
        <w:t xml:space="preserve">Avoda Zara </w:t>
      </w:r>
      <w:r w:rsidR="00CB40FD">
        <w:rPr>
          <w:sz w:val="24"/>
          <w:szCs w:val="24"/>
        </w:rPr>
        <w:t>3b)</w:t>
      </w:r>
      <w:r w:rsidR="002C39D2">
        <w:rPr>
          <w:sz w:val="24"/>
          <w:szCs w:val="24"/>
        </w:rPr>
        <w:t>. Children are considered God</w:t>
      </w:r>
      <w:r w:rsidR="00CB40FD">
        <w:rPr>
          <w:sz w:val="24"/>
          <w:szCs w:val="24"/>
        </w:rPr>
        <w:t>’s “anointed ones” (</w:t>
      </w:r>
      <w:r w:rsidR="00CB40FD">
        <w:rPr>
          <w:i/>
          <w:sz w:val="24"/>
          <w:szCs w:val="24"/>
        </w:rPr>
        <w:t xml:space="preserve">Shabbat </w:t>
      </w:r>
      <w:r w:rsidR="00CB40FD">
        <w:rPr>
          <w:sz w:val="24"/>
          <w:szCs w:val="24"/>
        </w:rPr>
        <w:t>119b). Jerusalem was destroyed because the children neglected their study. The world only exists because of the study of children; we do not interrupt their study even for the construction of the Temple, and we destroy any town that does not set their children to learning (ibid.). Divine anger is transmuted to compassion when God sees the study of children and Torah scholars (</w:t>
      </w:r>
      <w:r w:rsidR="00CB40FD">
        <w:rPr>
          <w:i/>
          <w:sz w:val="24"/>
          <w:szCs w:val="24"/>
        </w:rPr>
        <w:t xml:space="preserve">Kalla </w:t>
      </w:r>
      <w:r w:rsidR="00354990">
        <w:rPr>
          <w:i/>
          <w:sz w:val="24"/>
          <w:szCs w:val="24"/>
        </w:rPr>
        <w:t>Rabbati</w:t>
      </w:r>
      <w:r w:rsidR="00CB40FD">
        <w:rPr>
          <w:i/>
          <w:sz w:val="24"/>
          <w:szCs w:val="24"/>
        </w:rPr>
        <w:t xml:space="preserve"> </w:t>
      </w:r>
      <w:r w:rsidR="00CB40FD">
        <w:rPr>
          <w:sz w:val="24"/>
          <w:szCs w:val="24"/>
        </w:rPr>
        <w:t xml:space="preserve">2:2). According to one </w:t>
      </w:r>
      <w:r w:rsidR="00CB40FD">
        <w:rPr>
          <w:i/>
          <w:sz w:val="24"/>
          <w:szCs w:val="24"/>
        </w:rPr>
        <w:t>midrash</w:t>
      </w:r>
      <w:r w:rsidR="00CB40FD">
        <w:rPr>
          <w:sz w:val="24"/>
          <w:szCs w:val="24"/>
        </w:rPr>
        <w:t>, before engagi</w:t>
      </w:r>
      <w:r>
        <w:rPr>
          <w:sz w:val="24"/>
          <w:szCs w:val="24"/>
        </w:rPr>
        <w:t>ng in prayer, Mordekhai gathers</w:t>
      </w:r>
      <w:r w:rsidR="00CB40FD">
        <w:rPr>
          <w:sz w:val="24"/>
          <w:szCs w:val="24"/>
        </w:rPr>
        <w:t xml:space="preserve"> the Jewish children for study (</w:t>
      </w:r>
      <w:r w:rsidR="00CB40FD">
        <w:rPr>
          <w:i/>
          <w:sz w:val="24"/>
          <w:szCs w:val="24"/>
        </w:rPr>
        <w:t>Sifrei De-ag</w:t>
      </w:r>
      <w:r w:rsidR="00354990">
        <w:rPr>
          <w:i/>
          <w:sz w:val="24"/>
          <w:szCs w:val="24"/>
        </w:rPr>
        <w:t>g</w:t>
      </w:r>
      <w:r w:rsidR="00CB40FD">
        <w:rPr>
          <w:i/>
          <w:sz w:val="24"/>
          <w:szCs w:val="24"/>
        </w:rPr>
        <w:t>ad</w:t>
      </w:r>
      <w:r w:rsidR="00354990">
        <w:rPr>
          <w:i/>
          <w:sz w:val="24"/>
          <w:szCs w:val="24"/>
        </w:rPr>
        <w:t>e</w:t>
      </w:r>
      <w:r w:rsidR="00CB40FD">
        <w:rPr>
          <w:i/>
          <w:sz w:val="24"/>
          <w:szCs w:val="24"/>
        </w:rPr>
        <w:t>ta</w:t>
      </w:r>
      <w:r w:rsidR="00CB40FD">
        <w:rPr>
          <w:sz w:val="24"/>
          <w:szCs w:val="24"/>
        </w:rPr>
        <w:t xml:space="preserve">, </w:t>
      </w:r>
      <w:r w:rsidR="00CB40FD">
        <w:rPr>
          <w:i/>
          <w:sz w:val="24"/>
          <w:szCs w:val="24"/>
        </w:rPr>
        <w:t xml:space="preserve">Esther </w:t>
      </w:r>
      <w:r w:rsidR="00CB40FD">
        <w:rPr>
          <w:sz w:val="24"/>
          <w:szCs w:val="24"/>
        </w:rPr>
        <w:t xml:space="preserve">4).  </w:t>
      </w:r>
    </w:p>
    <w:p w:rsidR="00CB40FD" w:rsidRDefault="00CB40FD" w:rsidP="005B537A">
      <w:pPr>
        <w:spacing w:line="240" w:lineRule="auto"/>
        <w:jc w:val="both"/>
        <w:rPr>
          <w:sz w:val="24"/>
          <w:szCs w:val="24"/>
        </w:rPr>
      </w:pPr>
    </w:p>
    <w:p w:rsidR="00CB40FD" w:rsidRDefault="00CB40FD" w:rsidP="005B537A">
      <w:pPr>
        <w:spacing w:line="240" w:lineRule="auto"/>
        <w:jc w:val="both"/>
        <w:rPr>
          <w:sz w:val="24"/>
          <w:szCs w:val="24"/>
        </w:rPr>
      </w:pPr>
      <w:r>
        <w:rPr>
          <w:sz w:val="24"/>
          <w:szCs w:val="24"/>
        </w:rPr>
        <w:t>What is more, there are halakhic discussions surrounding the parameters of the urgency of children’s learn</w:t>
      </w:r>
      <w:r w:rsidR="008A345C">
        <w:rPr>
          <w:sz w:val="24"/>
          <w:szCs w:val="24"/>
        </w:rPr>
        <w:t xml:space="preserve">ing. To take just one example, </w:t>
      </w:r>
      <w:r>
        <w:rPr>
          <w:i/>
          <w:sz w:val="24"/>
          <w:szCs w:val="24"/>
        </w:rPr>
        <w:t>Megilla</w:t>
      </w:r>
      <w:r w:rsidR="008A345C">
        <w:rPr>
          <w:sz w:val="24"/>
          <w:szCs w:val="24"/>
        </w:rPr>
        <w:t xml:space="preserve"> 29a</w:t>
      </w:r>
      <w:r>
        <w:rPr>
          <w:sz w:val="24"/>
          <w:szCs w:val="24"/>
        </w:rPr>
        <w:t xml:space="preserve"> rules that we cancel Torah study </w:t>
      </w:r>
      <w:r w:rsidR="00F054DD">
        <w:rPr>
          <w:sz w:val="24"/>
          <w:szCs w:val="24"/>
        </w:rPr>
        <w:t xml:space="preserve">for </w:t>
      </w:r>
      <w:r w:rsidR="00A256BC">
        <w:rPr>
          <w:sz w:val="24"/>
          <w:szCs w:val="24"/>
        </w:rPr>
        <w:t>funerals</w:t>
      </w:r>
      <w:r w:rsidR="00F054DD">
        <w:rPr>
          <w:sz w:val="24"/>
          <w:szCs w:val="24"/>
        </w:rPr>
        <w:t xml:space="preserve"> and weddings</w:t>
      </w:r>
      <w:r>
        <w:rPr>
          <w:sz w:val="24"/>
          <w:szCs w:val="24"/>
        </w:rPr>
        <w:t>. Rosh (</w:t>
      </w:r>
      <w:r>
        <w:rPr>
          <w:i/>
          <w:sz w:val="24"/>
          <w:szCs w:val="24"/>
        </w:rPr>
        <w:t>Moed Katan</w:t>
      </w:r>
      <w:r>
        <w:rPr>
          <w:sz w:val="24"/>
          <w:szCs w:val="24"/>
        </w:rPr>
        <w:t xml:space="preserve"> 3:61) cites the view of R. Yom Tov of Joigny, who rules that, in light of the </w:t>
      </w:r>
      <w:r>
        <w:rPr>
          <w:i/>
          <w:sz w:val="24"/>
          <w:szCs w:val="24"/>
        </w:rPr>
        <w:t>sugya</w:t>
      </w:r>
      <w:r>
        <w:rPr>
          <w:sz w:val="24"/>
          <w:szCs w:val="24"/>
        </w:rPr>
        <w:t xml:space="preserve"> in </w:t>
      </w:r>
      <w:r>
        <w:rPr>
          <w:i/>
          <w:sz w:val="24"/>
          <w:szCs w:val="24"/>
        </w:rPr>
        <w:t>Shabbat</w:t>
      </w:r>
      <w:r>
        <w:rPr>
          <w:sz w:val="24"/>
          <w:szCs w:val="24"/>
        </w:rPr>
        <w:t xml:space="preserve">, this ruling does not apply to </w:t>
      </w:r>
      <w:r w:rsidRPr="008A345C">
        <w:rPr>
          <w:iCs/>
          <w:sz w:val="24"/>
          <w:szCs w:val="24"/>
        </w:rPr>
        <w:t>yeshiva</w:t>
      </w:r>
      <w:r>
        <w:rPr>
          <w:i/>
          <w:sz w:val="24"/>
          <w:szCs w:val="24"/>
        </w:rPr>
        <w:t xml:space="preserve"> </w:t>
      </w:r>
      <w:r w:rsidR="008A345C">
        <w:rPr>
          <w:sz w:val="24"/>
          <w:szCs w:val="24"/>
        </w:rPr>
        <w:t>students</w:t>
      </w:r>
      <w:r>
        <w:rPr>
          <w:sz w:val="24"/>
          <w:szCs w:val="24"/>
        </w:rPr>
        <w:t xml:space="preserve">. </w:t>
      </w:r>
    </w:p>
    <w:p w:rsidR="00CB40FD" w:rsidRDefault="00CB40FD" w:rsidP="005B537A">
      <w:pPr>
        <w:spacing w:line="240" w:lineRule="auto"/>
        <w:jc w:val="both"/>
        <w:rPr>
          <w:sz w:val="24"/>
          <w:szCs w:val="24"/>
        </w:rPr>
      </w:pPr>
    </w:p>
    <w:p w:rsidR="00CB40FD" w:rsidRDefault="00CB40FD" w:rsidP="005B537A">
      <w:pPr>
        <w:spacing w:line="240" w:lineRule="auto"/>
        <w:jc w:val="both"/>
        <w:rPr>
          <w:sz w:val="24"/>
          <w:szCs w:val="24"/>
        </w:rPr>
      </w:pPr>
      <w:r>
        <w:rPr>
          <w:sz w:val="24"/>
          <w:szCs w:val="24"/>
        </w:rPr>
        <w:lastRenderedPageBreak/>
        <w:t xml:space="preserve">Why is children’s study so highly valued in rabbinic literature? One might suggest that without the learning of children, the future is lost. While this seems a reasonable explanation, some of the </w:t>
      </w:r>
      <w:r>
        <w:rPr>
          <w:i/>
          <w:sz w:val="24"/>
          <w:szCs w:val="24"/>
        </w:rPr>
        <w:t>sugyot</w:t>
      </w:r>
      <w:r>
        <w:rPr>
          <w:sz w:val="24"/>
          <w:szCs w:val="24"/>
        </w:rPr>
        <w:t xml:space="preserve"> imply that even more is at stake. Quite literally, children’s learning is the foundation of the world. Hearkening back to R. C</w:t>
      </w:r>
      <w:r w:rsidR="00F054DD">
        <w:rPr>
          <w:sz w:val="24"/>
          <w:szCs w:val="24"/>
        </w:rPr>
        <w:t xml:space="preserve">hayim Volozhin’s conception of </w:t>
      </w:r>
      <w:r w:rsidR="00A256BC" w:rsidRPr="00A256BC">
        <w:rPr>
          <w:i/>
          <w:sz w:val="24"/>
          <w:szCs w:val="24"/>
        </w:rPr>
        <w:t>talmud Torah</w:t>
      </w:r>
      <w:r>
        <w:rPr>
          <w:sz w:val="24"/>
          <w:szCs w:val="24"/>
        </w:rPr>
        <w:t xml:space="preserve"> as upholding the world, we might suggest that this is particularly true</w:t>
      </w:r>
      <w:r w:rsidR="00F054DD">
        <w:rPr>
          <w:sz w:val="24"/>
          <w:szCs w:val="24"/>
        </w:rPr>
        <w:t xml:space="preserve"> of children. Indeed, </w:t>
      </w:r>
      <w:r>
        <w:rPr>
          <w:i/>
          <w:sz w:val="24"/>
          <w:szCs w:val="24"/>
        </w:rPr>
        <w:t>Nedarim</w:t>
      </w:r>
      <w:r w:rsidR="00F054DD">
        <w:rPr>
          <w:sz w:val="24"/>
          <w:szCs w:val="24"/>
        </w:rPr>
        <w:t xml:space="preserve"> 32a</w:t>
      </w:r>
      <w:r>
        <w:rPr>
          <w:sz w:val="24"/>
          <w:szCs w:val="24"/>
        </w:rPr>
        <w:t xml:space="preserve">, which </w:t>
      </w:r>
      <w:r w:rsidR="008A345C">
        <w:rPr>
          <w:sz w:val="24"/>
          <w:szCs w:val="24"/>
        </w:rPr>
        <w:t>declares</w:t>
      </w:r>
      <w:r>
        <w:rPr>
          <w:sz w:val="24"/>
          <w:szCs w:val="24"/>
        </w:rPr>
        <w:t xml:space="preserve"> that if not for Torah study the universe would collapse and which Rav Cha</w:t>
      </w:r>
      <w:r w:rsidR="00F054DD">
        <w:rPr>
          <w:sz w:val="24"/>
          <w:szCs w:val="24"/>
        </w:rPr>
        <w:t>y</w:t>
      </w:r>
      <w:r>
        <w:rPr>
          <w:sz w:val="24"/>
          <w:szCs w:val="24"/>
        </w:rPr>
        <w:t xml:space="preserve">im cites to great effect, closely parallels the </w:t>
      </w:r>
      <w:r w:rsidR="00A256BC">
        <w:rPr>
          <w:sz w:val="24"/>
          <w:szCs w:val="24"/>
        </w:rPr>
        <w:t>passage</w:t>
      </w:r>
      <w:r w:rsidR="00F054DD">
        <w:rPr>
          <w:sz w:val="24"/>
          <w:szCs w:val="24"/>
        </w:rPr>
        <w:t xml:space="preserve"> which states</w:t>
      </w:r>
      <w:r>
        <w:rPr>
          <w:sz w:val="24"/>
          <w:szCs w:val="24"/>
        </w:rPr>
        <w:t xml:space="preserve"> that the world only subsists due to the breath of young Torah students. </w:t>
      </w:r>
    </w:p>
    <w:p w:rsidR="00CB40FD" w:rsidRDefault="00CB40FD" w:rsidP="005B537A">
      <w:pPr>
        <w:spacing w:line="240" w:lineRule="auto"/>
        <w:jc w:val="both"/>
        <w:rPr>
          <w:sz w:val="24"/>
          <w:szCs w:val="24"/>
        </w:rPr>
      </w:pPr>
    </w:p>
    <w:p w:rsidR="00776A8F" w:rsidRDefault="002C39D2" w:rsidP="005B537A">
      <w:pPr>
        <w:spacing w:line="240" w:lineRule="auto"/>
        <w:jc w:val="both"/>
        <w:rPr>
          <w:sz w:val="24"/>
          <w:szCs w:val="24"/>
        </w:rPr>
      </w:pPr>
      <w:r>
        <w:rPr>
          <w:sz w:val="24"/>
          <w:szCs w:val="24"/>
        </w:rPr>
        <w:t>On this basis</w:t>
      </w:r>
      <w:r w:rsidR="00F054DD">
        <w:rPr>
          <w:sz w:val="24"/>
          <w:szCs w:val="24"/>
        </w:rPr>
        <w:t>,</w:t>
      </w:r>
      <w:r w:rsidR="00CB40FD">
        <w:rPr>
          <w:sz w:val="24"/>
          <w:szCs w:val="24"/>
        </w:rPr>
        <w:t xml:space="preserve"> Maharal (</w:t>
      </w:r>
      <w:r>
        <w:rPr>
          <w:i/>
          <w:sz w:val="24"/>
          <w:szCs w:val="24"/>
        </w:rPr>
        <w:t>Netivot Olam</w:t>
      </w:r>
      <w:r>
        <w:rPr>
          <w:sz w:val="24"/>
          <w:szCs w:val="24"/>
        </w:rPr>
        <w:t xml:space="preserve">, </w:t>
      </w:r>
      <w:r>
        <w:rPr>
          <w:i/>
          <w:sz w:val="24"/>
          <w:szCs w:val="24"/>
        </w:rPr>
        <w:t>Neti</w:t>
      </w:r>
      <w:r w:rsidR="00354990">
        <w:rPr>
          <w:i/>
          <w:sz w:val="24"/>
          <w:szCs w:val="24"/>
        </w:rPr>
        <w:t>v</w:t>
      </w:r>
      <w:r w:rsidR="00CB40FD">
        <w:rPr>
          <w:i/>
          <w:sz w:val="24"/>
          <w:szCs w:val="24"/>
        </w:rPr>
        <w:t xml:space="preserve"> Ha</w:t>
      </w:r>
      <w:r w:rsidR="00354990">
        <w:rPr>
          <w:i/>
          <w:sz w:val="24"/>
          <w:szCs w:val="24"/>
        </w:rPr>
        <w:t>-</w:t>
      </w:r>
      <w:r w:rsidR="00CB40FD">
        <w:rPr>
          <w:i/>
          <w:sz w:val="24"/>
          <w:szCs w:val="24"/>
        </w:rPr>
        <w:t xml:space="preserve">Torah </w:t>
      </w:r>
      <w:r w:rsidR="00CB40FD">
        <w:rPr>
          <w:sz w:val="24"/>
          <w:szCs w:val="24"/>
        </w:rPr>
        <w:t xml:space="preserve">10, s.v. </w:t>
      </w:r>
      <w:r w:rsidR="00354990">
        <w:rPr>
          <w:i/>
          <w:sz w:val="24"/>
          <w:szCs w:val="24"/>
        </w:rPr>
        <w:t>V</w:t>
      </w:r>
      <w:r w:rsidR="00CB40FD">
        <w:rPr>
          <w:i/>
          <w:sz w:val="24"/>
          <w:szCs w:val="24"/>
        </w:rPr>
        <w:t>e-al</w:t>
      </w:r>
      <w:r w:rsidR="00CB40FD">
        <w:rPr>
          <w:sz w:val="24"/>
          <w:szCs w:val="24"/>
        </w:rPr>
        <w:t>) suggests that children are particularly well-positioned to “up</w:t>
      </w:r>
      <w:r w:rsidR="00354990">
        <w:rPr>
          <w:sz w:val="24"/>
          <w:szCs w:val="24"/>
        </w:rPr>
        <w:t xml:space="preserve">hold” the world due their </w:t>
      </w:r>
      <w:r w:rsidR="00CB40FD">
        <w:rPr>
          <w:sz w:val="24"/>
          <w:szCs w:val="24"/>
        </w:rPr>
        <w:t xml:space="preserve">lack of sin (see </w:t>
      </w:r>
      <w:r w:rsidR="00CB40FD">
        <w:rPr>
          <w:i/>
          <w:sz w:val="24"/>
          <w:szCs w:val="24"/>
        </w:rPr>
        <w:t xml:space="preserve">Shabbat </w:t>
      </w:r>
      <w:r w:rsidR="00CB40FD">
        <w:rPr>
          <w:sz w:val="24"/>
          <w:szCs w:val="24"/>
        </w:rPr>
        <w:t>119b). Adults, by definition, are stained by sin and therefore not purified by the physicality of t</w:t>
      </w:r>
      <w:r w:rsidR="00F054DD">
        <w:rPr>
          <w:sz w:val="24"/>
          <w:szCs w:val="24"/>
        </w:rPr>
        <w:t>his world. Children, who are un</w:t>
      </w:r>
      <w:r w:rsidR="00CB40FD">
        <w:rPr>
          <w:sz w:val="24"/>
          <w:szCs w:val="24"/>
        </w:rPr>
        <w:t>tain</w:t>
      </w:r>
      <w:r w:rsidR="00F054DD">
        <w:rPr>
          <w:sz w:val="24"/>
          <w:szCs w:val="24"/>
        </w:rPr>
        <w:t>t</w:t>
      </w:r>
      <w:r w:rsidR="00CB40FD">
        <w:rPr>
          <w:sz w:val="24"/>
          <w:szCs w:val="24"/>
        </w:rPr>
        <w:t>ed, are no</w:t>
      </w:r>
      <w:r w:rsidR="00F054DD">
        <w:rPr>
          <w:sz w:val="24"/>
          <w:szCs w:val="24"/>
        </w:rPr>
        <w:t xml:space="preserve">t constrained by this impurity </w:t>
      </w:r>
      <w:r w:rsidR="00CB40FD">
        <w:rPr>
          <w:sz w:val="24"/>
          <w:szCs w:val="24"/>
        </w:rPr>
        <w:t>and are better positioned to play this cosmic role. It therefore emerges that the Gemara’s treatment of children’s Torah study dovetails particularly well with R. Chayim’s position regarding the exist</w:t>
      </w:r>
      <w:r w:rsidR="00A256BC">
        <w:rPr>
          <w:sz w:val="24"/>
          <w:szCs w:val="24"/>
        </w:rPr>
        <w:t xml:space="preserve">ential importance of </w:t>
      </w:r>
      <w:r w:rsidR="00A256BC" w:rsidRPr="00A256BC">
        <w:rPr>
          <w:i/>
          <w:sz w:val="24"/>
          <w:szCs w:val="24"/>
        </w:rPr>
        <w:t>talmud Torah</w:t>
      </w:r>
      <w:r w:rsidR="00CB40FD">
        <w:rPr>
          <w:sz w:val="24"/>
          <w:szCs w:val="24"/>
        </w:rPr>
        <w:t xml:space="preserve">. </w:t>
      </w:r>
    </w:p>
    <w:sectPr w:rsidR="00776A8F" w:rsidSect="00EB29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B9" w:rsidRDefault="003D79B9">
      <w:pPr>
        <w:spacing w:line="240" w:lineRule="auto"/>
      </w:pPr>
      <w:r>
        <w:separator/>
      </w:r>
    </w:p>
  </w:endnote>
  <w:endnote w:type="continuationSeparator" w:id="0">
    <w:p w:rsidR="003D79B9" w:rsidRDefault="003D7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B9" w:rsidRDefault="003D79B9">
      <w:pPr>
        <w:spacing w:line="240" w:lineRule="auto"/>
      </w:pPr>
      <w:r>
        <w:separator/>
      </w:r>
    </w:p>
  </w:footnote>
  <w:footnote w:type="continuationSeparator" w:id="0">
    <w:p w:rsidR="003D79B9" w:rsidRDefault="003D79B9">
      <w:pPr>
        <w:spacing w:line="240" w:lineRule="auto"/>
      </w:pPr>
      <w:r>
        <w:continuationSeparator/>
      </w:r>
    </w:p>
  </w:footnote>
  <w:footnote w:id="1">
    <w:p w:rsidR="00CB40FD" w:rsidRDefault="00CB40FD" w:rsidP="00CB40FD">
      <w:pPr>
        <w:spacing w:line="240" w:lineRule="auto"/>
        <w:rPr>
          <w:sz w:val="20"/>
          <w:szCs w:val="20"/>
        </w:rPr>
      </w:pPr>
      <w:r>
        <w:rPr>
          <w:vertAlign w:val="superscript"/>
        </w:rPr>
        <w:footnoteRef/>
      </w:r>
      <w:r>
        <w:rPr>
          <w:sz w:val="20"/>
          <w:szCs w:val="20"/>
        </w:rPr>
        <w:t xml:space="preserve"> </w:t>
      </w:r>
      <w:r>
        <w:rPr>
          <w:i/>
          <w:sz w:val="20"/>
          <w:szCs w:val="20"/>
        </w:rPr>
        <w:t>Tradition</w:t>
      </w:r>
      <w:r>
        <w:rPr>
          <w:sz w:val="20"/>
          <w:szCs w:val="20"/>
        </w:rPr>
        <w:t xml:space="preserve"> 19:2. Available at </w:t>
      </w:r>
      <w:hyperlink r:id="rId1" w:history="1">
        <w:r>
          <w:rPr>
            <w:rStyle w:val="Hyperlink"/>
            <w:color w:val="1155CC"/>
            <w:sz w:val="20"/>
            <w:szCs w:val="20"/>
          </w:rPr>
          <w:t>https://www.lookstein.org/professional-dev/obligation-talmud-women-according-maimonides/</w:t>
        </w:r>
      </w:hyperlink>
      <w:r>
        <w:rPr>
          <w:sz w:val="20"/>
          <w:szCs w:val="20"/>
        </w:rPr>
        <w:t xml:space="preserve">. </w:t>
      </w:r>
    </w:p>
  </w:footnote>
  <w:footnote w:id="2">
    <w:p w:rsidR="00CB40FD" w:rsidRDefault="00CB40FD" w:rsidP="008A345C">
      <w:pPr>
        <w:spacing w:line="240" w:lineRule="auto"/>
        <w:rPr>
          <w:sz w:val="20"/>
          <w:szCs w:val="20"/>
        </w:rPr>
      </w:pPr>
      <w:r>
        <w:rPr>
          <w:vertAlign w:val="superscript"/>
        </w:rPr>
        <w:footnoteRef/>
      </w:r>
      <w:r>
        <w:rPr>
          <w:sz w:val="20"/>
          <w:szCs w:val="20"/>
        </w:rPr>
        <w:t xml:space="preserve"> HaRav Amital makes a similar argument, contending that women are in fact obligated to study nowadays due to the larger imperative of </w:t>
      </w:r>
      <w:r>
        <w:rPr>
          <w:i/>
          <w:sz w:val="20"/>
          <w:szCs w:val="20"/>
        </w:rPr>
        <w:t>avodat Hashem</w:t>
      </w:r>
      <w:r w:rsidR="008A345C">
        <w:rPr>
          <w:sz w:val="20"/>
          <w:szCs w:val="20"/>
        </w:rPr>
        <w:t xml:space="preserve">. See his article, “In </w:t>
      </w:r>
      <w:r>
        <w:rPr>
          <w:sz w:val="20"/>
          <w:szCs w:val="20"/>
        </w:rPr>
        <w:t xml:space="preserve">Depth Torah Study,” available at </w:t>
      </w:r>
      <w:hyperlink r:id="rId2" w:history="1">
        <w:r>
          <w:rPr>
            <w:rStyle w:val="Hyperlink"/>
            <w:color w:val="1155CC"/>
            <w:sz w:val="20"/>
            <w:szCs w:val="20"/>
          </w:rPr>
          <w:t>http://etzion.org.il/en/depth-torah-study</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C6856"/>
    <w:rsid w:val="00195277"/>
    <w:rsid w:val="001C7683"/>
    <w:rsid w:val="00246543"/>
    <w:rsid w:val="002C39D2"/>
    <w:rsid w:val="002E0B24"/>
    <w:rsid w:val="0031130A"/>
    <w:rsid w:val="00317C11"/>
    <w:rsid w:val="00354990"/>
    <w:rsid w:val="003C68B8"/>
    <w:rsid w:val="003D79B9"/>
    <w:rsid w:val="0049019E"/>
    <w:rsid w:val="004947A6"/>
    <w:rsid w:val="004A0E42"/>
    <w:rsid w:val="004F2A97"/>
    <w:rsid w:val="004F37AB"/>
    <w:rsid w:val="005328F4"/>
    <w:rsid w:val="00587E9F"/>
    <w:rsid w:val="005B537A"/>
    <w:rsid w:val="005C107D"/>
    <w:rsid w:val="00610714"/>
    <w:rsid w:val="00776A8F"/>
    <w:rsid w:val="007E1ED6"/>
    <w:rsid w:val="00874FEC"/>
    <w:rsid w:val="008A16AE"/>
    <w:rsid w:val="008A345C"/>
    <w:rsid w:val="009D6235"/>
    <w:rsid w:val="00A256BC"/>
    <w:rsid w:val="00A44CD8"/>
    <w:rsid w:val="00A87BB3"/>
    <w:rsid w:val="00B0702E"/>
    <w:rsid w:val="00BD4E5F"/>
    <w:rsid w:val="00BE53CF"/>
    <w:rsid w:val="00C816C3"/>
    <w:rsid w:val="00CB40FD"/>
    <w:rsid w:val="00CE107E"/>
    <w:rsid w:val="00E20B49"/>
    <w:rsid w:val="00E20E5B"/>
    <w:rsid w:val="00E4514B"/>
    <w:rsid w:val="00E80D7D"/>
    <w:rsid w:val="00EB2933"/>
    <w:rsid w:val="00F054DD"/>
    <w:rsid w:val="00FE6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5B537A"/>
    <w:pPr>
      <w:tabs>
        <w:tab w:val="center" w:pos="4320"/>
        <w:tab w:val="right" w:pos="8640"/>
      </w:tabs>
      <w:spacing w:line="240" w:lineRule="auto"/>
    </w:pPr>
  </w:style>
  <w:style w:type="character" w:customStyle="1" w:styleId="HeaderChar">
    <w:name w:val="Header Char"/>
    <w:basedOn w:val="DefaultParagraphFont"/>
    <w:link w:val="Header"/>
    <w:uiPriority w:val="99"/>
    <w:rsid w:val="005B537A"/>
  </w:style>
  <w:style w:type="paragraph" w:styleId="Footer">
    <w:name w:val="footer"/>
    <w:basedOn w:val="Normal"/>
    <w:link w:val="FooterChar"/>
    <w:uiPriority w:val="99"/>
    <w:unhideWhenUsed/>
    <w:rsid w:val="005B537A"/>
    <w:pPr>
      <w:tabs>
        <w:tab w:val="center" w:pos="4320"/>
        <w:tab w:val="right" w:pos="8640"/>
      </w:tabs>
      <w:spacing w:line="240" w:lineRule="auto"/>
    </w:pPr>
  </w:style>
  <w:style w:type="character" w:customStyle="1" w:styleId="FooterChar">
    <w:name w:val="Footer Char"/>
    <w:basedOn w:val="DefaultParagraphFont"/>
    <w:link w:val="Footer"/>
    <w:uiPriority w:val="99"/>
    <w:rsid w:val="005B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5B537A"/>
    <w:pPr>
      <w:tabs>
        <w:tab w:val="center" w:pos="4320"/>
        <w:tab w:val="right" w:pos="8640"/>
      </w:tabs>
      <w:spacing w:line="240" w:lineRule="auto"/>
    </w:pPr>
  </w:style>
  <w:style w:type="character" w:customStyle="1" w:styleId="HeaderChar">
    <w:name w:val="Header Char"/>
    <w:basedOn w:val="DefaultParagraphFont"/>
    <w:link w:val="Header"/>
    <w:uiPriority w:val="99"/>
    <w:rsid w:val="005B537A"/>
  </w:style>
  <w:style w:type="paragraph" w:styleId="Footer">
    <w:name w:val="footer"/>
    <w:basedOn w:val="Normal"/>
    <w:link w:val="FooterChar"/>
    <w:uiPriority w:val="99"/>
    <w:unhideWhenUsed/>
    <w:rsid w:val="005B537A"/>
    <w:pPr>
      <w:tabs>
        <w:tab w:val="center" w:pos="4320"/>
        <w:tab w:val="right" w:pos="8640"/>
      </w:tabs>
      <w:spacing w:line="240" w:lineRule="auto"/>
    </w:pPr>
  </w:style>
  <w:style w:type="character" w:customStyle="1" w:styleId="FooterChar">
    <w:name w:val="Footer Char"/>
    <w:basedOn w:val="DefaultParagraphFont"/>
    <w:link w:val="Footer"/>
    <w:uiPriority w:val="99"/>
    <w:rsid w:val="005B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908">
      <w:bodyDiv w:val="1"/>
      <w:marLeft w:val="0"/>
      <w:marRight w:val="0"/>
      <w:marTop w:val="0"/>
      <w:marBottom w:val="0"/>
      <w:divBdr>
        <w:top w:val="none" w:sz="0" w:space="0" w:color="auto"/>
        <w:left w:val="none" w:sz="0" w:space="0" w:color="auto"/>
        <w:bottom w:val="none" w:sz="0" w:space="0" w:color="auto"/>
        <w:right w:val="none" w:sz="0" w:space="0" w:color="auto"/>
      </w:divBdr>
      <w:divsChild>
        <w:div w:id="25182637">
          <w:marLeft w:val="0"/>
          <w:marRight w:val="0"/>
          <w:marTop w:val="0"/>
          <w:marBottom w:val="0"/>
          <w:divBdr>
            <w:top w:val="none" w:sz="0" w:space="0" w:color="auto"/>
            <w:left w:val="none" w:sz="0" w:space="0" w:color="auto"/>
            <w:bottom w:val="none" w:sz="0" w:space="0" w:color="auto"/>
            <w:right w:val="none" w:sz="0" w:space="0" w:color="auto"/>
          </w:divBdr>
        </w:div>
        <w:div w:id="654798249">
          <w:marLeft w:val="0"/>
          <w:marRight w:val="0"/>
          <w:marTop w:val="0"/>
          <w:marBottom w:val="0"/>
          <w:divBdr>
            <w:top w:val="none" w:sz="0" w:space="0" w:color="auto"/>
            <w:left w:val="none" w:sz="0" w:space="0" w:color="auto"/>
            <w:bottom w:val="none" w:sz="0" w:space="0" w:color="auto"/>
            <w:right w:val="none" w:sz="0" w:space="0" w:color="auto"/>
          </w:divBdr>
        </w:div>
        <w:div w:id="58943120">
          <w:marLeft w:val="0"/>
          <w:marRight w:val="0"/>
          <w:marTop w:val="0"/>
          <w:marBottom w:val="0"/>
          <w:divBdr>
            <w:top w:val="none" w:sz="0" w:space="0" w:color="auto"/>
            <w:left w:val="none" w:sz="0" w:space="0" w:color="auto"/>
            <w:bottom w:val="none" w:sz="0" w:space="0" w:color="auto"/>
            <w:right w:val="none" w:sz="0" w:space="0" w:color="auto"/>
          </w:divBdr>
        </w:div>
        <w:div w:id="1086809707">
          <w:marLeft w:val="0"/>
          <w:marRight w:val="0"/>
          <w:marTop w:val="0"/>
          <w:marBottom w:val="0"/>
          <w:divBdr>
            <w:top w:val="none" w:sz="0" w:space="0" w:color="auto"/>
            <w:left w:val="none" w:sz="0" w:space="0" w:color="auto"/>
            <w:bottom w:val="none" w:sz="0" w:space="0" w:color="auto"/>
            <w:right w:val="none" w:sz="0" w:space="0" w:color="auto"/>
          </w:divBdr>
        </w:div>
        <w:div w:id="773284058">
          <w:marLeft w:val="0"/>
          <w:marRight w:val="0"/>
          <w:marTop w:val="0"/>
          <w:marBottom w:val="0"/>
          <w:divBdr>
            <w:top w:val="none" w:sz="0" w:space="0" w:color="auto"/>
            <w:left w:val="none" w:sz="0" w:space="0" w:color="auto"/>
            <w:bottom w:val="none" w:sz="0" w:space="0" w:color="auto"/>
            <w:right w:val="none" w:sz="0" w:space="0" w:color="auto"/>
          </w:divBdr>
        </w:div>
        <w:div w:id="1037049743">
          <w:marLeft w:val="0"/>
          <w:marRight w:val="0"/>
          <w:marTop w:val="0"/>
          <w:marBottom w:val="0"/>
          <w:divBdr>
            <w:top w:val="none" w:sz="0" w:space="0" w:color="auto"/>
            <w:left w:val="none" w:sz="0" w:space="0" w:color="auto"/>
            <w:bottom w:val="none" w:sz="0" w:space="0" w:color="auto"/>
            <w:right w:val="none" w:sz="0" w:space="0" w:color="auto"/>
          </w:divBdr>
        </w:div>
        <w:div w:id="889610279">
          <w:marLeft w:val="0"/>
          <w:marRight w:val="0"/>
          <w:marTop w:val="0"/>
          <w:marBottom w:val="0"/>
          <w:divBdr>
            <w:top w:val="none" w:sz="0" w:space="0" w:color="auto"/>
            <w:left w:val="none" w:sz="0" w:space="0" w:color="auto"/>
            <w:bottom w:val="none" w:sz="0" w:space="0" w:color="auto"/>
            <w:right w:val="none" w:sz="0" w:space="0" w:color="auto"/>
          </w:divBdr>
        </w:div>
        <w:div w:id="1522352704">
          <w:marLeft w:val="0"/>
          <w:marRight w:val="0"/>
          <w:marTop w:val="0"/>
          <w:marBottom w:val="0"/>
          <w:divBdr>
            <w:top w:val="none" w:sz="0" w:space="0" w:color="auto"/>
            <w:left w:val="none" w:sz="0" w:space="0" w:color="auto"/>
            <w:bottom w:val="none" w:sz="0" w:space="0" w:color="auto"/>
            <w:right w:val="none" w:sz="0" w:space="0" w:color="auto"/>
          </w:divBdr>
        </w:div>
        <w:div w:id="674308869">
          <w:marLeft w:val="0"/>
          <w:marRight w:val="0"/>
          <w:marTop w:val="0"/>
          <w:marBottom w:val="0"/>
          <w:divBdr>
            <w:top w:val="none" w:sz="0" w:space="0" w:color="auto"/>
            <w:left w:val="none" w:sz="0" w:space="0" w:color="auto"/>
            <w:bottom w:val="none" w:sz="0" w:space="0" w:color="auto"/>
            <w:right w:val="none" w:sz="0" w:space="0" w:color="auto"/>
          </w:divBdr>
        </w:div>
        <w:div w:id="92366752">
          <w:marLeft w:val="0"/>
          <w:marRight w:val="0"/>
          <w:marTop w:val="0"/>
          <w:marBottom w:val="0"/>
          <w:divBdr>
            <w:top w:val="none" w:sz="0" w:space="0" w:color="auto"/>
            <w:left w:val="none" w:sz="0" w:space="0" w:color="auto"/>
            <w:bottom w:val="none" w:sz="0" w:space="0" w:color="auto"/>
            <w:right w:val="none" w:sz="0" w:space="0" w:color="auto"/>
          </w:divBdr>
        </w:div>
        <w:div w:id="338436407">
          <w:marLeft w:val="0"/>
          <w:marRight w:val="0"/>
          <w:marTop w:val="0"/>
          <w:marBottom w:val="0"/>
          <w:divBdr>
            <w:top w:val="none" w:sz="0" w:space="0" w:color="auto"/>
            <w:left w:val="none" w:sz="0" w:space="0" w:color="auto"/>
            <w:bottom w:val="none" w:sz="0" w:space="0" w:color="auto"/>
            <w:right w:val="none" w:sz="0" w:space="0" w:color="auto"/>
          </w:divBdr>
        </w:div>
        <w:div w:id="1424107521">
          <w:marLeft w:val="0"/>
          <w:marRight w:val="0"/>
          <w:marTop w:val="0"/>
          <w:marBottom w:val="0"/>
          <w:divBdr>
            <w:top w:val="none" w:sz="0" w:space="0" w:color="auto"/>
            <w:left w:val="none" w:sz="0" w:space="0" w:color="auto"/>
            <w:bottom w:val="none" w:sz="0" w:space="0" w:color="auto"/>
            <w:right w:val="none" w:sz="0" w:space="0" w:color="auto"/>
          </w:divBdr>
        </w:div>
        <w:div w:id="911545529">
          <w:marLeft w:val="0"/>
          <w:marRight w:val="0"/>
          <w:marTop w:val="0"/>
          <w:marBottom w:val="0"/>
          <w:divBdr>
            <w:top w:val="none" w:sz="0" w:space="0" w:color="auto"/>
            <w:left w:val="none" w:sz="0" w:space="0" w:color="auto"/>
            <w:bottom w:val="none" w:sz="0" w:space="0" w:color="auto"/>
            <w:right w:val="none" w:sz="0" w:space="0" w:color="auto"/>
          </w:divBdr>
        </w:div>
        <w:div w:id="303707497">
          <w:marLeft w:val="0"/>
          <w:marRight w:val="0"/>
          <w:marTop w:val="0"/>
          <w:marBottom w:val="0"/>
          <w:divBdr>
            <w:top w:val="none" w:sz="0" w:space="0" w:color="auto"/>
            <w:left w:val="none" w:sz="0" w:space="0" w:color="auto"/>
            <w:bottom w:val="none" w:sz="0" w:space="0" w:color="auto"/>
            <w:right w:val="none" w:sz="0" w:space="0" w:color="auto"/>
          </w:divBdr>
        </w:div>
        <w:div w:id="229461112">
          <w:marLeft w:val="0"/>
          <w:marRight w:val="0"/>
          <w:marTop w:val="0"/>
          <w:marBottom w:val="0"/>
          <w:divBdr>
            <w:top w:val="none" w:sz="0" w:space="0" w:color="auto"/>
            <w:left w:val="none" w:sz="0" w:space="0" w:color="auto"/>
            <w:bottom w:val="none" w:sz="0" w:space="0" w:color="auto"/>
            <w:right w:val="none" w:sz="0" w:space="0" w:color="auto"/>
          </w:divBdr>
        </w:div>
        <w:div w:id="735519464">
          <w:marLeft w:val="0"/>
          <w:marRight w:val="0"/>
          <w:marTop w:val="0"/>
          <w:marBottom w:val="0"/>
          <w:divBdr>
            <w:top w:val="none" w:sz="0" w:space="0" w:color="auto"/>
            <w:left w:val="none" w:sz="0" w:space="0" w:color="auto"/>
            <w:bottom w:val="none" w:sz="0" w:space="0" w:color="auto"/>
            <w:right w:val="none" w:sz="0" w:space="0" w:color="auto"/>
          </w:divBdr>
        </w:div>
        <w:div w:id="626201317">
          <w:marLeft w:val="0"/>
          <w:marRight w:val="0"/>
          <w:marTop w:val="0"/>
          <w:marBottom w:val="0"/>
          <w:divBdr>
            <w:top w:val="none" w:sz="0" w:space="0" w:color="auto"/>
            <w:left w:val="none" w:sz="0" w:space="0" w:color="auto"/>
            <w:bottom w:val="none" w:sz="0" w:space="0" w:color="auto"/>
            <w:right w:val="none" w:sz="0" w:space="0" w:color="auto"/>
          </w:divBdr>
        </w:div>
        <w:div w:id="1510750474">
          <w:marLeft w:val="0"/>
          <w:marRight w:val="0"/>
          <w:marTop w:val="0"/>
          <w:marBottom w:val="0"/>
          <w:divBdr>
            <w:top w:val="none" w:sz="0" w:space="0" w:color="auto"/>
            <w:left w:val="none" w:sz="0" w:space="0" w:color="auto"/>
            <w:bottom w:val="none" w:sz="0" w:space="0" w:color="auto"/>
            <w:right w:val="none" w:sz="0" w:space="0" w:color="auto"/>
          </w:divBdr>
        </w:div>
        <w:div w:id="1529290128">
          <w:marLeft w:val="0"/>
          <w:marRight w:val="0"/>
          <w:marTop w:val="0"/>
          <w:marBottom w:val="0"/>
          <w:divBdr>
            <w:top w:val="none" w:sz="0" w:space="0" w:color="auto"/>
            <w:left w:val="none" w:sz="0" w:space="0" w:color="auto"/>
            <w:bottom w:val="none" w:sz="0" w:space="0" w:color="auto"/>
            <w:right w:val="none" w:sz="0" w:space="0" w:color="auto"/>
          </w:divBdr>
        </w:div>
        <w:div w:id="614413327">
          <w:marLeft w:val="0"/>
          <w:marRight w:val="0"/>
          <w:marTop w:val="0"/>
          <w:marBottom w:val="0"/>
          <w:divBdr>
            <w:top w:val="none" w:sz="0" w:space="0" w:color="auto"/>
            <w:left w:val="none" w:sz="0" w:space="0" w:color="auto"/>
            <w:bottom w:val="none" w:sz="0" w:space="0" w:color="auto"/>
            <w:right w:val="none" w:sz="0" w:space="0" w:color="auto"/>
          </w:divBdr>
        </w:div>
        <w:div w:id="1018040370">
          <w:marLeft w:val="0"/>
          <w:marRight w:val="0"/>
          <w:marTop w:val="0"/>
          <w:marBottom w:val="0"/>
          <w:divBdr>
            <w:top w:val="none" w:sz="0" w:space="0" w:color="auto"/>
            <w:left w:val="none" w:sz="0" w:space="0" w:color="auto"/>
            <w:bottom w:val="none" w:sz="0" w:space="0" w:color="auto"/>
            <w:right w:val="none" w:sz="0" w:space="0" w:color="auto"/>
          </w:divBdr>
        </w:div>
        <w:div w:id="1806925429">
          <w:marLeft w:val="0"/>
          <w:marRight w:val="0"/>
          <w:marTop w:val="0"/>
          <w:marBottom w:val="0"/>
          <w:divBdr>
            <w:top w:val="none" w:sz="0" w:space="0" w:color="auto"/>
            <w:left w:val="none" w:sz="0" w:space="0" w:color="auto"/>
            <w:bottom w:val="none" w:sz="0" w:space="0" w:color="auto"/>
            <w:right w:val="none" w:sz="0" w:space="0" w:color="auto"/>
          </w:divBdr>
        </w:div>
        <w:div w:id="2114010263">
          <w:marLeft w:val="0"/>
          <w:marRight w:val="0"/>
          <w:marTop w:val="0"/>
          <w:marBottom w:val="0"/>
          <w:divBdr>
            <w:top w:val="none" w:sz="0" w:space="0" w:color="auto"/>
            <w:left w:val="none" w:sz="0" w:space="0" w:color="auto"/>
            <w:bottom w:val="none" w:sz="0" w:space="0" w:color="auto"/>
            <w:right w:val="none" w:sz="0" w:space="0" w:color="auto"/>
          </w:divBdr>
        </w:div>
        <w:div w:id="219708499">
          <w:marLeft w:val="0"/>
          <w:marRight w:val="0"/>
          <w:marTop w:val="0"/>
          <w:marBottom w:val="0"/>
          <w:divBdr>
            <w:top w:val="none" w:sz="0" w:space="0" w:color="auto"/>
            <w:left w:val="none" w:sz="0" w:space="0" w:color="auto"/>
            <w:bottom w:val="none" w:sz="0" w:space="0" w:color="auto"/>
            <w:right w:val="none" w:sz="0" w:space="0" w:color="auto"/>
          </w:divBdr>
        </w:div>
        <w:div w:id="576742470">
          <w:marLeft w:val="0"/>
          <w:marRight w:val="0"/>
          <w:marTop w:val="0"/>
          <w:marBottom w:val="0"/>
          <w:divBdr>
            <w:top w:val="none" w:sz="0" w:space="0" w:color="auto"/>
            <w:left w:val="none" w:sz="0" w:space="0" w:color="auto"/>
            <w:bottom w:val="none" w:sz="0" w:space="0" w:color="auto"/>
            <w:right w:val="none" w:sz="0" w:space="0" w:color="auto"/>
          </w:divBdr>
        </w:div>
        <w:div w:id="1794864650">
          <w:marLeft w:val="0"/>
          <w:marRight w:val="0"/>
          <w:marTop w:val="0"/>
          <w:marBottom w:val="0"/>
          <w:divBdr>
            <w:top w:val="none" w:sz="0" w:space="0" w:color="auto"/>
            <w:left w:val="none" w:sz="0" w:space="0" w:color="auto"/>
            <w:bottom w:val="none" w:sz="0" w:space="0" w:color="auto"/>
            <w:right w:val="none" w:sz="0" w:space="0" w:color="auto"/>
          </w:divBdr>
        </w:div>
        <w:div w:id="2075807620">
          <w:marLeft w:val="0"/>
          <w:marRight w:val="0"/>
          <w:marTop w:val="0"/>
          <w:marBottom w:val="0"/>
          <w:divBdr>
            <w:top w:val="none" w:sz="0" w:space="0" w:color="auto"/>
            <w:left w:val="none" w:sz="0" w:space="0" w:color="auto"/>
            <w:bottom w:val="none" w:sz="0" w:space="0" w:color="auto"/>
            <w:right w:val="none" w:sz="0" w:space="0" w:color="auto"/>
          </w:divBdr>
        </w:div>
        <w:div w:id="599486355">
          <w:marLeft w:val="0"/>
          <w:marRight w:val="0"/>
          <w:marTop w:val="0"/>
          <w:marBottom w:val="0"/>
          <w:divBdr>
            <w:top w:val="none" w:sz="0" w:space="0" w:color="auto"/>
            <w:left w:val="none" w:sz="0" w:space="0" w:color="auto"/>
            <w:bottom w:val="none" w:sz="0" w:space="0" w:color="auto"/>
            <w:right w:val="none" w:sz="0" w:space="0" w:color="auto"/>
          </w:divBdr>
        </w:div>
      </w:divsChild>
    </w:div>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tzion.org.il/en/depth-torah-study" TargetMode="External"/><Relationship Id="rId1" Type="http://schemas.openxmlformats.org/officeDocument/2006/relationships/hyperlink" Target="https://www.lookstein.org/professional-dev/obligation-talmud-women-according-maimon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50D1-0B2B-4B09-8A82-040DCF08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2017-12-26T10:09:00Z</dcterms:created>
  <dcterms:modified xsi:type="dcterms:W3CDTF">2017-12-31T09:05:00Z</dcterms:modified>
</cp:coreProperties>
</file>