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AF" w:rsidRDefault="00952FAF" w:rsidP="00952FAF">
      <w:pPr>
        <w:pStyle w:val="a3"/>
        <w:jc w:val="right"/>
        <w:rPr>
          <w:rtl/>
        </w:rPr>
      </w:pPr>
    </w:p>
    <w:p w:rsidR="00950094" w:rsidRDefault="00950094" w:rsidP="00952FAF">
      <w:pPr>
        <w:pStyle w:val="a3"/>
        <w:rPr>
          <w:rtl/>
        </w:rPr>
      </w:pPr>
      <w:r>
        <w:rPr>
          <w:rtl/>
        </w:rPr>
        <w:t xml:space="preserve">הרב יאיר </w:t>
      </w:r>
      <w:proofErr w:type="spellStart"/>
      <w:r>
        <w:rPr>
          <w:rtl/>
        </w:rPr>
        <w:t>קאהן</w:t>
      </w:r>
      <w:proofErr w:type="spellEnd"/>
    </w:p>
    <w:p w:rsidR="00952FAF" w:rsidRPr="00201923" w:rsidRDefault="00201923" w:rsidP="00BF3F3C">
      <w:pPr>
        <w:pStyle w:val="a1"/>
        <w:rPr>
          <w:rFonts w:hint="cs"/>
          <w:sz w:val="28"/>
          <w:szCs w:val="28"/>
          <w:rtl/>
        </w:rPr>
      </w:pPr>
      <w:r w:rsidRPr="00201923">
        <w:rPr>
          <w:sz w:val="28"/>
          <w:szCs w:val="28"/>
          <w:rtl/>
        </w:rPr>
        <w:t>גיטין כה.-</w:t>
      </w:r>
      <w:proofErr w:type="spellStart"/>
      <w:r w:rsidRPr="00201923">
        <w:rPr>
          <w:sz w:val="28"/>
          <w:szCs w:val="28"/>
          <w:rtl/>
        </w:rPr>
        <w:t>כו</w:t>
      </w:r>
      <w:proofErr w:type="spellEnd"/>
      <w:r w:rsidRPr="00201923">
        <w:rPr>
          <w:sz w:val="28"/>
          <w:szCs w:val="28"/>
          <w:rtl/>
        </w:rPr>
        <w:t>.</w:t>
      </w:r>
      <w:r w:rsidRPr="00201923">
        <w:rPr>
          <w:sz w:val="28"/>
          <w:szCs w:val="28"/>
        </w:rPr>
        <w:t xml:space="preserve"> - </w:t>
      </w:r>
      <w:r w:rsidR="00BF3F3C" w:rsidRPr="00201923">
        <w:rPr>
          <w:sz w:val="28"/>
          <w:szCs w:val="28"/>
          <w:rtl/>
        </w:rPr>
        <w:t>המשך סוגיית</w:t>
      </w:r>
      <w:r w:rsidR="00952FAF" w:rsidRPr="00201923">
        <w:rPr>
          <w:sz w:val="28"/>
          <w:szCs w:val="28"/>
          <w:rtl/>
        </w:rPr>
        <w:t xml:space="preserve"> ברירה</w:t>
      </w:r>
      <w:r w:rsidR="00D65646">
        <w:rPr>
          <w:rFonts w:hint="cs"/>
          <w:sz w:val="28"/>
          <w:szCs w:val="28"/>
          <w:rtl/>
        </w:rPr>
        <w:t xml:space="preserve"> (ב)</w:t>
      </w:r>
    </w:p>
    <w:p w:rsidR="00BF3F3C" w:rsidRDefault="00BF3F3C" w:rsidP="00BF3F3C">
      <w:pPr>
        <w:pStyle w:val="2"/>
        <w:rPr>
          <w:rtl/>
        </w:rPr>
      </w:pPr>
      <w:r>
        <w:rPr>
          <w:rtl/>
        </w:rPr>
        <w:t>מקורות</w:t>
      </w:r>
    </w:p>
    <w:p w:rsidR="00BF3F3C" w:rsidRDefault="00BF3F3C" w:rsidP="007945AC">
      <w:pPr>
        <w:ind w:left="210" w:hanging="210"/>
        <w:rPr>
          <w:rtl/>
        </w:rPr>
      </w:pPr>
      <w:r>
        <w:rPr>
          <w:rtl/>
        </w:rPr>
        <w:t>1.</w:t>
      </w:r>
      <w:r w:rsidR="007945AC">
        <w:rPr>
          <w:rtl/>
        </w:rPr>
        <w:t> </w:t>
      </w:r>
      <w:r>
        <w:rPr>
          <w:rtl/>
        </w:rPr>
        <w:t xml:space="preserve">דף כה. "א"ל רב </w:t>
      </w:r>
      <w:proofErr w:type="spellStart"/>
      <w:r>
        <w:rPr>
          <w:rtl/>
        </w:rPr>
        <w:t>משרשיא</w:t>
      </w:r>
      <w:proofErr w:type="spellEnd"/>
      <w:r>
        <w:rPr>
          <w:rtl/>
        </w:rPr>
        <w:t xml:space="preserve">... לכשיבקע", רש"י ד"ה ולכי </w:t>
      </w:r>
      <w:proofErr w:type="spellStart"/>
      <w:r>
        <w:rPr>
          <w:rtl/>
        </w:rPr>
        <w:t>מיית</w:t>
      </w:r>
      <w:proofErr w:type="spellEnd"/>
      <w:r>
        <w:rPr>
          <w:rtl/>
        </w:rPr>
        <w:t xml:space="preserve"> וד"ה לא רצה [רש"י שבועות דף לו. ד"ה בו קבלת דברים].</w:t>
      </w:r>
    </w:p>
    <w:p w:rsidR="00BF3F3C" w:rsidRDefault="00BF3F3C" w:rsidP="00BF3F3C">
      <w:pPr>
        <w:rPr>
          <w:rtl/>
        </w:rPr>
      </w:pPr>
      <w:r>
        <w:rPr>
          <w:rtl/>
        </w:rPr>
        <w:t xml:space="preserve">2. </w:t>
      </w:r>
      <w:proofErr w:type="spellStart"/>
      <w:r>
        <w:rPr>
          <w:rtl/>
        </w:rPr>
        <w:t>תוד"ה</w:t>
      </w:r>
      <w:proofErr w:type="spellEnd"/>
      <w:r>
        <w:rPr>
          <w:rtl/>
        </w:rPr>
        <w:t xml:space="preserve"> ולכי </w:t>
      </w:r>
      <w:proofErr w:type="spellStart"/>
      <w:r>
        <w:rPr>
          <w:rtl/>
        </w:rPr>
        <w:t>מיית</w:t>
      </w:r>
      <w:proofErr w:type="spellEnd"/>
      <w:r>
        <w:rPr>
          <w:rtl/>
        </w:rPr>
        <w:t>.</w:t>
      </w:r>
    </w:p>
    <w:p w:rsidR="00BF3F3C" w:rsidRDefault="00BF3F3C" w:rsidP="00BF3F3C">
      <w:pPr>
        <w:rPr>
          <w:rtl/>
        </w:rPr>
      </w:pPr>
      <w:r>
        <w:rPr>
          <w:rtl/>
        </w:rPr>
        <w:t xml:space="preserve">3. רמב"ן ד"ה תולה, רבנו </w:t>
      </w:r>
      <w:proofErr w:type="spellStart"/>
      <w:r>
        <w:rPr>
          <w:rtl/>
        </w:rPr>
        <w:t>קרשקש</w:t>
      </w:r>
      <w:proofErr w:type="spellEnd"/>
      <w:r>
        <w:rPr>
          <w:rtl/>
        </w:rPr>
        <w:t xml:space="preserve"> ד"ה מה היא.</w:t>
      </w:r>
    </w:p>
    <w:p w:rsidR="00BF3F3C" w:rsidRDefault="00BF3F3C" w:rsidP="00BF3F3C">
      <w:pPr>
        <w:rPr>
          <w:rtl/>
        </w:rPr>
      </w:pPr>
      <w:r>
        <w:rPr>
          <w:rtl/>
        </w:rPr>
        <w:t xml:space="preserve">4. חידושי </w:t>
      </w:r>
      <w:proofErr w:type="spellStart"/>
      <w:r>
        <w:rPr>
          <w:rtl/>
        </w:rPr>
        <w:t>הריטב"א</w:t>
      </w:r>
      <w:proofErr w:type="spellEnd"/>
      <w:r>
        <w:rPr>
          <w:rtl/>
        </w:rPr>
        <w:t xml:space="preserve"> </w:t>
      </w:r>
      <w:proofErr w:type="spellStart"/>
      <w:r>
        <w:rPr>
          <w:rtl/>
        </w:rPr>
        <w:t>מכת"י</w:t>
      </w:r>
      <w:proofErr w:type="spellEnd"/>
      <w:r>
        <w:rPr>
          <w:rtl/>
        </w:rPr>
        <w:t xml:space="preserve"> ד"ה </w:t>
      </w:r>
      <w:proofErr w:type="spellStart"/>
      <w:r>
        <w:rPr>
          <w:rtl/>
        </w:rPr>
        <w:t>ר"ש</w:t>
      </w:r>
      <w:proofErr w:type="spellEnd"/>
      <w:r>
        <w:rPr>
          <w:rtl/>
        </w:rPr>
        <w:t xml:space="preserve"> אומר.</w:t>
      </w:r>
    </w:p>
    <w:p w:rsidR="00BF3F3C" w:rsidRDefault="00BF3F3C" w:rsidP="00BF3F3C">
      <w:pPr>
        <w:pStyle w:val="2"/>
        <w:rPr>
          <w:rtl/>
        </w:rPr>
      </w:pPr>
      <w:r>
        <w:rPr>
          <w:rtl/>
        </w:rPr>
        <w:t>שאלות הכנה</w:t>
      </w:r>
    </w:p>
    <w:p w:rsidR="00BF3F3C" w:rsidRDefault="00BF3F3C" w:rsidP="00BF3F3C">
      <w:pPr>
        <w:rPr>
          <w:rtl/>
        </w:rPr>
      </w:pPr>
      <w:r>
        <w:rPr>
          <w:rtl/>
        </w:rPr>
        <w:t>1. אילו סוגי תנאי זקוקים לדין ברירה לפי רש"י? מדוע?</w:t>
      </w:r>
    </w:p>
    <w:p w:rsidR="00BF3F3C" w:rsidRDefault="00BF3F3C" w:rsidP="007945AC">
      <w:pPr>
        <w:ind w:left="210" w:hanging="210"/>
        <w:rPr>
          <w:rtl/>
        </w:rPr>
      </w:pPr>
      <w:r>
        <w:rPr>
          <w:rtl/>
        </w:rPr>
        <w:t>2.</w:t>
      </w:r>
      <w:r w:rsidR="007945AC">
        <w:rPr>
          <w:rtl/>
        </w:rPr>
        <w:t> </w:t>
      </w:r>
      <w:r>
        <w:rPr>
          <w:rtl/>
        </w:rPr>
        <w:t>למה לפי תוספות זקוקה משנת "מה היא באותן ימים" לדין ברירה גם בלי חילוקו של רש"י?</w:t>
      </w:r>
    </w:p>
    <w:p w:rsidR="00BF3F3C" w:rsidRDefault="00BF3F3C" w:rsidP="007945AC">
      <w:pPr>
        <w:ind w:left="210" w:hanging="210"/>
        <w:rPr>
          <w:rtl/>
        </w:rPr>
      </w:pPr>
      <w:r>
        <w:rPr>
          <w:rtl/>
        </w:rPr>
        <w:t>3.</w:t>
      </w:r>
      <w:r w:rsidR="007945AC">
        <w:rPr>
          <w:rtl/>
        </w:rPr>
        <w:t> </w:t>
      </w:r>
      <w:r>
        <w:rPr>
          <w:rtl/>
        </w:rPr>
        <w:t xml:space="preserve">מדוע "על מנת שירצה אבא" זקוק לדין ברירה לפי החידושים </w:t>
      </w:r>
      <w:proofErr w:type="spellStart"/>
      <w:r>
        <w:rPr>
          <w:rtl/>
        </w:rPr>
        <w:t>המיוחסין</w:t>
      </w:r>
      <w:proofErr w:type="spellEnd"/>
      <w:r>
        <w:rPr>
          <w:rtl/>
        </w:rPr>
        <w:t xml:space="preserve"> </w:t>
      </w:r>
      <w:proofErr w:type="spellStart"/>
      <w:r>
        <w:rPr>
          <w:rtl/>
        </w:rPr>
        <w:t>לריטב"א</w:t>
      </w:r>
      <w:proofErr w:type="spellEnd"/>
      <w:r>
        <w:rPr>
          <w:rtl/>
        </w:rPr>
        <w:t xml:space="preserve"> (</w:t>
      </w:r>
      <w:proofErr w:type="spellStart"/>
      <w:r>
        <w:rPr>
          <w:rtl/>
        </w:rPr>
        <w:t>כת"י</w:t>
      </w:r>
      <w:proofErr w:type="spellEnd"/>
      <w:r>
        <w:rPr>
          <w:rtl/>
        </w:rPr>
        <w:t>)? ולפי הרמב"ן?</w:t>
      </w:r>
    </w:p>
    <w:p w:rsidR="00BF3F3C" w:rsidRDefault="00BF3F3C" w:rsidP="00BF3F3C">
      <w:pPr>
        <w:pStyle w:val="2"/>
        <w:rPr>
          <w:rtl/>
        </w:rPr>
      </w:pPr>
      <w:r>
        <w:rPr>
          <w:rtl/>
        </w:rPr>
        <w:t>הקדמה</w:t>
      </w:r>
    </w:p>
    <w:p w:rsidR="00BF3F3C" w:rsidRDefault="00E474C5" w:rsidP="00BF3F3C">
      <w:pPr>
        <w:rPr>
          <w:rtl/>
        </w:rPr>
      </w:pPr>
      <w:hyperlink r:id="rId8" w:history="1">
        <w:r w:rsidR="00BF3F3C" w:rsidRPr="00E474C5">
          <w:rPr>
            <w:rStyle w:val="Hyperlink"/>
            <w:rtl/>
          </w:rPr>
          <w:t>בשיעור הקודם</w:t>
        </w:r>
      </w:hyperlink>
      <w:bookmarkStart w:id="0" w:name="_GoBack"/>
      <w:bookmarkEnd w:id="0"/>
      <w:r w:rsidR="00BF3F3C">
        <w:rPr>
          <w:rtl/>
        </w:rPr>
        <w:t xml:space="preserve"> הסברנו כי המתנה, אף על פי שהתנה בדבר שיקרה בעתיד, אין תנאו זקוק לדין ברירה. והיינו משום שדין ברירה אינו אלא כשחסר מרכיב מהותי מהמעשה או מהחלות, ואילו תנאי הוא תלייה בגורם חיצוני. לכן אפילו למי שסובר כי אין ברירה, וכי אין ההווה מתברר על פי העתיד, התנאי יחול.</w:t>
      </w:r>
    </w:p>
    <w:p w:rsidR="007945AC" w:rsidRDefault="00BF3F3C" w:rsidP="00BF3F3C">
      <w:pPr>
        <w:rPr>
          <w:rtl/>
        </w:rPr>
      </w:pPr>
      <w:r>
        <w:rPr>
          <w:rtl/>
        </w:rPr>
        <w:t>אלא שכל מה שכתבנו נסתר לכאורה מהמשך סוגייתנו:</w:t>
      </w:r>
    </w:p>
    <w:p w:rsidR="007945AC" w:rsidRDefault="00BF3F3C" w:rsidP="007945AC">
      <w:pPr>
        <w:pStyle w:val="a0"/>
        <w:rPr>
          <w:rtl/>
        </w:rPr>
      </w:pPr>
      <w:r>
        <w:rPr>
          <w:rtl/>
        </w:rPr>
        <w:t xml:space="preserve">"תולה בדעת אחרים </w:t>
      </w:r>
      <w:proofErr w:type="spellStart"/>
      <w:r>
        <w:rPr>
          <w:rtl/>
        </w:rPr>
        <w:t>אית</w:t>
      </w:r>
      <w:proofErr w:type="spellEnd"/>
      <w:r>
        <w:rPr>
          <w:rtl/>
        </w:rPr>
        <w:t xml:space="preserve"> ליה ברירה, </w:t>
      </w:r>
      <w:proofErr w:type="spellStart"/>
      <w:r>
        <w:rPr>
          <w:rtl/>
        </w:rPr>
        <w:t>דתנן</w:t>
      </w:r>
      <w:proofErr w:type="spellEnd"/>
      <w:r>
        <w:rPr>
          <w:rtl/>
        </w:rPr>
        <w:t xml:space="preserve">: מה היא באותן הימים? רבי יהודה אומר: הרי היא כאשת איש לכל דבריה, ולכי </w:t>
      </w:r>
      <w:proofErr w:type="spellStart"/>
      <w:r>
        <w:rPr>
          <w:rtl/>
        </w:rPr>
        <w:t>מיית</w:t>
      </w:r>
      <w:proofErr w:type="spellEnd"/>
      <w:r>
        <w:rPr>
          <w:rtl/>
        </w:rPr>
        <w:t xml:space="preserve"> הוי </w:t>
      </w:r>
      <w:proofErr w:type="spellStart"/>
      <w:r>
        <w:rPr>
          <w:rtl/>
        </w:rPr>
        <w:t>גיטא</w:t>
      </w:r>
      <w:proofErr w:type="spellEnd"/>
      <w:r>
        <w:rPr>
          <w:rtl/>
        </w:rPr>
        <w:t xml:space="preserve">". </w:t>
      </w:r>
    </w:p>
    <w:p w:rsidR="007945AC" w:rsidRDefault="00BF3F3C" w:rsidP="007945AC">
      <w:pPr>
        <w:rPr>
          <w:rtl/>
        </w:rPr>
      </w:pPr>
      <w:r>
        <w:rPr>
          <w:rtl/>
        </w:rPr>
        <w:t xml:space="preserve">במשנת "מה היא באותן הימים..." (דף </w:t>
      </w:r>
      <w:proofErr w:type="spellStart"/>
      <w:r>
        <w:rPr>
          <w:rtl/>
        </w:rPr>
        <w:t>עג</w:t>
      </w:r>
      <w:proofErr w:type="spellEnd"/>
      <w:r>
        <w:rPr>
          <w:rtl/>
        </w:rPr>
        <w:t>.), אליה מתייחסת גמרא זו, נשנה דין תנאי, שהרי היא שנויה כהמשך למשנה בדף עב.:</w:t>
      </w:r>
    </w:p>
    <w:p w:rsidR="007945AC" w:rsidRDefault="00BF3F3C" w:rsidP="007945AC">
      <w:pPr>
        <w:pStyle w:val="a0"/>
        <w:rPr>
          <w:rtl/>
        </w:rPr>
      </w:pPr>
      <w:r>
        <w:rPr>
          <w:rtl/>
        </w:rPr>
        <w:t xml:space="preserve">"זה </w:t>
      </w:r>
      <w:proofErr w:type="spellStart"/>
      <w:r>
        <w:rPr>
          <w:rtl/>
        </w:rPr>
        <w:t>גיטיך</w:t>
      </w:r>
      <w:proofErr w:type="spellEnd"/>
      <w:r>
        <w:rPr>
          <w:rtl/>
        </w:rPr>
        <w:t xml:space="preserve"> מהיום אם מתי מחולי זה, ועמד והלך בשוק וחלה ומת, </w:t>
      </w:r>
      <w:proofErr w:type="spellStart"/>
      <w:r>
        <w:rPr>
          <w:rtl/>
        </w:rPr>
        <w:t>אומדין</w:t>
      </w:r>
      <w:proofErr w:type="spellEnd"/>
      <w:r>
        <w:rPr>
          <w:rtl/>
        </w:rPr>
        <w:t xml:space="preserve"> אותו: אם מחמת חולי הראשון מת -</w:t>
      </w:r>
      <w:r w:rsidR="007945AC">
        <w:rPr>
          <w:rtl/>
        </w:rPr>
        <w:t xml:space="preserve"> הרי זה גט, ואם לאו - אינו גט".</w:t>
      </w:r>
    </w:p>
    <w:p w:rsidR="00BF3F3C" w:rsidRDefault="00BF3F3C" w:rsidP="00BF3F3C">
      <w:pPr>
        <w:rPr>
          <w:rtl/>
        </w:rPr>
      </w:pPr>
      <w:r>
        <w:rPr>
          <w:rtl/>
        </w:rPr>
        <w:t>אם כן, בתנאי רגיל - "אם מתי מחולי זה" - עסקינן, ואף על פי כן הגמרא תולה חלות תנאי זה בשיטה הסוברת כי יש ברירה.</w:t>
      </w:r>
    </w:p>
    <w:p w:rsidR="007945AC" w:rsidRDefault="00BF3F3C" w:rsidP="00BF3F3C">
      <w:pPr>
        <w:rPr>
          <w:rtl/>
        </w:rPr>
      </w:pPr>
      <w:r>
        <w:rPr>
          <w:rtl/>
        </w:rPr>
        <w:t xml:space="preserve">ויש להקשות עוד מהמשך סוגייתנו: </w:t>
      </w:r>
    </w:p>
    <w:p w:rsidR="007945AC" w:rsidRDefault="00BF3F3C" w:rsidP="007945AC">
      <w:pPr>
        <w:pStyle w:val="a0"/>
        <w:rPr>
          <w:rtl/>
        </w:rPr>
      </w:pPr>
      <w:r>
        <w:rPr>
          <w:rtl/>
        </w:rPr>
        <w:t xml:space="preserve">"תולה בדעת אחרים </w:t>
      </w:r>
      <w:proofErr w:type="spellStart"/>
      <w:r>
        <w:rPr>
          <w:rtl/>
        </w:rPr>
        <w:t>אית</w:t>
      </w:r>
      <w:proofErr w:type="spellEnd"/>
      <w:r>
        <w:rPr>
          <w:rtl/>
        </w:rPr>
        <w:t xml:space="preserve"> ליה ברירה, </w:t>
      </w:r>
      <w:proofErr w:type="spellStart"/>
      <w:r>
        <w:rPr>
          <w:rtl/>
        </w:rPr>
        <w:t>דתניא</w:t>
      </w:r>
      <w:proofErr w:type="spellEnd"/>
      <w:r>
        <w:rPr>
          <w:rtl/>
        </w:rPr>
        <w:t xml:space="preserve">: הריני </w:t>
      </w:r>
      <w:proofErr w:type="spellStart"/>
      <w:r>
        <w:rPr>
          <w:rtl/>
        </w:rPr>
        <w:t>בועליך</w:t>
      </w:r>
      <w:proofErr w:type="spellEnd"/>
      <w:r>
        <w:rPr>
          <w:rtl/>
        </w:rPr>
        <w:t xml:space="preserve"> על מנת שירצה אבא - אף על פי שלא רצה האב מקודשת. רבי שמעון בן יהודה אומר משום רבי שמעון: רצה האב - מקודשת, לא רצה האב - אינה מקודשת".</w:t>
      </w:r>
    </w:p>
    <w:p w:rsidR="00BF3F3C" w:rsidRDefault="00BF3F3C" w:rsidP="00BF3F3C">
      <w:pPr>
        <w:rPr>
          <w:rtl/>
        </w:rPr>
      </w:pPr>
      <w:r>
        <w:rPr>
          <w:rtl/>
        </w:rPr>
        <w:lastRenderedPageBreak/>
        <w:t xml:space="preserve">גם כאן לכאורה בתנאי רגיל עסקינן, ואף על פי כן תולה הגמרא ברייתא זו בדין ברירה. ועיין ברבותינו הראשונים זצ"ל שהתמודדו עם שאלות אלו, אבל דבריהם טעונים בירור, ומקום הניחו לנו. לשם כך נדון בשאלות אלו בנפרד, ונתחיל ב"הרי זה </w:t>
      </w:r>
      <w:proofErr w:type="spellStart"/>
      <w:r>
        <w:rPr>
          <w:rtl/>
        </w:rPr>
        <w:t>גיטיך</w:t>
      </w:r>
      <w:proofErr w:type="spellEnd"/>
      <w:r>
        <w:rPr>
          <w:rtl/>
        </w:rPr>
        <w:t xml:space="preserve"> מהיום אם מתי מחולי זה".</w:t>
      </w:r>
    </w:p>
    <w:p w:rsidR="00BF3F3C" w:rsidRDefault="00BF3F3C" w:rsidP="00BF3F3C">
      <w:pPr>
        <w:pStyle w:val="2"/>
        <w:rPr>
          <w:rtl/>
        </w:rPr>
      </w:pPr>
      <w:r>
        <w:rPr>
          <w:rtl/>
        </w:rPr>
        <w:t>אם מתי מחולי זה</w:t>
      </w:r>
    </w:p>
    <w:p w:rsidR="007945AC" w:rsidRDefault="00BF3F3C" w:rsidP="007945AC">
      <w:pPr>
        <w:rPr>
          <w:rtl/>
        </w:rPr>
      </w:pPr>
      <w:r>
        <w:rPr>
          <w:rtl/>
        </w:rPr>
        <w:t>רש"י התייחס לבעיה זו בפירושו, וז</w:t>
      </w:r>
      <w:r w:rsidR="007945AC">
        <w:rPr>
          <w:rtl/>
        </w:rPr>
        <w:t>ו</w:t>
      </w:r>
      <w:r>
        <w:rPr>
          <w:rtl/>
        </w:rPr>
        <w:t xml:space="preserve"> לשונו: </w:t>
      </w:r>
    </w:p>
    <w:p w:rsidR="007945AC" w:rsidRDefault="00BF3F3C" w:rsidP="007945AC">
      <w:pPr>
        <w:pStyle w:val="a0"/>
        <w:rPr>
          <w:rtl/>
        </w:rPr>
      </w:pPr>
      <w:r>
        <w:rPr>
          <w:rtl/>
        </w:rPr>
        <w:t xml:space="preserve">"ואין זה כשאר תנאים שאדם מתנה בגט, שבידו לקיימם ודעתו לקיימם כשמתנה עליהם, ולכשנתקיים התנאי הוי גט למפרע. </w:t>
      </w:r>
      <w:proofErr w:type="spellStart"/>
      <w:r>
        <w:rPr>
          <w:rtl/>
        </w:rPr>
        <w:t>דהתם</w:t>
      </w:r>
      <w:proofErr w:type="spellEnd"/>
      <w:r>
        <w:rPr>
          <w:rtl/>
        </w:rPr>
        <w:t xml:space="preserve"> לאו טעמא משום ברירה הוא, אבל הכא, </w:t>
      </w:r>
      <w:proofErr w:type="spellStart"/>
      <w:r>
        <w:rPr>
          <w:rtl/>
        </w:rPr>
        <w:t>דאין</w:t>
      </w:r>
      <w:proofErr w:type="spellEnd"/>
      <w:r>
        <w:rPr>
          <w:rtl/>
        </w:rPr>
        <w:t xml:space="preserve"> בידו, ובשעת התנאי הוא ספק, והתנאי מתקיים מאליו, אי לאו משום ברירה לא הוי גט מחיים". </w:t>
      </w:r>
    </w:p>
    <w:p w:rsidR="00BF3F3C" w:rsidRDefault="00BF3F3C" w:rsidP="007945AC">
      <w:pPr>
        <w:rPr>
          <w:rtl/>
        </w:rPr>
      </w:pPr>
      <w:r>
        <w:rPr>
          <w:rtl/>
        </w:rPr>
        <w:t>מתוך דבריו משמע שכל תנאי שאינו ביד המתנה תלוי בדין ברירה. וחילוק זה קשה מאוד: מה עניין "בידו" אצל משפטי התנאים?</w:t>
      </w:r>
    </w:p>
    <w:p w:rsidR="007945AC" w:rsidRDefault="00BF3F3C" w:rsidP="007945AC">
      <w:pPr>
        <w:rPr>
          <w:rtl/>
        </w:rPr>
      </w:pPr>
      <w:r>
        <w:rPr>
          <w:rtl/>
        </w:rPr>
        <w:t xml:space="preserve">ושמא אפשר לפרש את פירושו כאן לאור דבריו במקום אחר. </w:t>
      </w:r>
      <w:proofErr w:type="spellStart"/>
      <w:r>
        <w:rPr>
          <w:rtl/>
        </w:rPr>
        <w:t>גרסינן</w:t>
      </w:r>
      <w:proofErr w:type="spellEnd"/>
      <w:r>
        <w:rPr>
          <w:rtl/>
        </w:rPr>
        <w:t xml:space="preserve"> בשבועות:</w:t>
      </w:r>
    </w:p>
    <w:p w:rsidR="007945AC" w:rsidRDefault="00BF3F3C" w:rsidP="007945AC">
      <w:pPr>
        <w:pStyle w:val="a0"/>
        <w:rPr>
          <w:rtl/>
        </w:rPr>
      </w:pPr>
      <w:r>
        <w:rPr>
          <w:rtl/>
        </w:rPr>
        <w:t xml:space="preserve">"אמר רבי יוסי ברבי </w:t>
      </w:r>
      <w:proofErr w:type="spellStart"/>
      <w:r>
        <w:rPr>
          <w:rtl/>
        </w:rPr>
        <w:t>חנינא</w:t>
      </w:r>
      <w:proofErr w:type="spellEnd"/>
      <w:r>
        <w:rPr>
          <w:rtl/>
        </w:rPr>
        <w:t>: 'אמן' - בו שבועה, בו קבלת דברים, בו האמנת דברים"</w:t>
      </w:r>
      <w:r w:rsidR="007945AC">
        <w:rPr>
          <w:rtl/>
        </w:rPr>
        <w:tab/>
        <w:t>(דף לו.)</w:t>
      </w:r>
      <w:r>
        <w:rPr>
          <w:rtl/>
        </w:rPr>
        <w:t xml:space="preserve">. </w:t>
      </w:r>
    </w:p>
    <w:p w:rsidR="007945AC" w:rsidRDefault="00BF3F3C" w:rsidP="00BF3F3C">
      <w:pPr>
        <w:rPr>
          <w:rtl/>
        </w:rPr>
      </w:pPr>
      <w:r>
        <w:rPr>
          <w:rtl/>
        </w:rPr>
        <w:t xml:space="preserve">בהסבר "קבלת דברים" מפרש רש"י: </w:t>
      </w:r>
    </w:p>
    <w:p w:rsidR="007945AC" w:rsidRDefault="00BF3F3C" w:rsidP="007945AC">
      <w:pPr>
        <w:pStyle w:val="a0"/>
        <w:rPr>
          <w:rtl/>
        </w:rPr>
      </w:pPr>
      <w:r>
        <w:rPr>
          <w:rtl/>
        </w:rPr>
        <w:t xml:space="preserve">"האומר </w:t>
      </w:r>
      <w:proofErr w:type="spellStart"/>
      <w:r>
        <w:rPr>
          <w:rtl/>
        </w:rPr>
        <w:t>לחבירו</w:t>
      </w:r>
      <w:proofErr w:type="spellEnd"/>
      <w:r>
        <w:rPr>
          <w:rtl/>
        </w:rPr>
        <w:t xml:space="preserve">: 'על מנת שתקיים לי תנאי כך וכך', ואמר 'אמן', קבל דבריו וחייב לקיים תנאו". </w:t>
      </w:r>
    </w:p>
    <w:p w:rsidR="007945AC" w:rsidRDefault="00BF3F3C" w:rsidP="007945AC">
      <w:pPr>
        <w:rPr>
          <w:rtl/>
        </w:rPr>
      </w:pPr>
      <w:r>
        <w:rPr>
          <w:rtl/>
        </w:rPr>
        <w:t xml:space="preserve">וגיליון </w:t>
      </w:r>
      <w:proofErr w:type="spellStart"/>
      <w:r>
        <w:rPr>
          <w:rtl/>
        </w:rPr>
        <w:t>הש"ס</w:t>
      </w:r>
      <w:proofErr w:type="spellEnd"/>
      <w:r>
        <w:rPr>
          <w:rtl/>
        </w:rPr>
        <w:t xml:space="preserve"> ל</w:t>
      </w:r>
      <w:r w:rsidR="007945AC">
        <w:rPr>
          <w:rtl/>
        </w:rPr>
        <w:t>רבי עקיבא איגר תמה על פירוש זה וכתב</w:t>
      </w:r>
      <w:r>
        <w:rPr>
          <w:rtl/>
        </w:rPr>
        <w:t>:</w:t>
      </w:r>
    </w:p>
    <w:p w:rsidR="007945AC" w:rsidRDefault="00BF3F3C" w:rsidP="007945AC">
      <w:pPr>
        <w:pStyle w:val="a0"/>
        <w:rPr>
          <w:rtl/>
        </w:rPr>
      </w:pPr>
      <w:r>
        <w:rPr>
          <w:rtl/>
        </w:rPr>
        <w:t xml:space="preserve">"לא ידעתי, הא </w:t>
      </w:r>
      <w:proofErr w:type="spellStart"/>
      <w:r>
        <w:rPr>
          <w:rtl/>
        </w:rPr>
        <w:t>ליכא</w:t>
      </w:r>
      <w:proofErr w:type="spellEnd"/>
      <w:r>
        <w:rPr>
          <w:rtl/>
        </w:rPr>
        <w:t xml:space="preserve"> חיוב לעשות התנאי, אלא </w:t>
      </w:r>
      <w:proofErr w:type="spellStart"/>
      <w:r>
        <w:rPr>
          <w:rtl/>
        </w:rPr>
        <w:t>דאם</w:t>
      </w:r>
      <w:proofErr w:type="spellEnd"/>
      <w:r>
        <w:rPr>
          <w:rtl/>
        </w:rPr>
        <w:t xml:space="preserve"> לא יקיים התנאי בטל המעשה </w:t>
      </w:r>
      <w:proofErr w:type="spellStart"/>
      <w:r>
        <w:rPr>
          <w:rtl/>
        </w:rPr>
        <w:t>דמכר</w:t>
      </w:r>
      <w:proofErr w:type="spellEnd"/>
      <w:r>
        <w:rPr>
          <w:rtl/>
        </w:rPr>
        <w:t xml:space="preserve"> מתנה וכדומה, ובזה למאי צריך ל'אמן' שיהיה קבלה, ומה צורך לקבלתו? הא הנותן לא נתן רק על מנת, ואם לא יקיים התנאי ממילא בטל הנתינה. וצ"ע". </w:t>
      </w:r>
    </w:p>
    <w:p w:rsidR="00BF3F3C" w:rsidRDefault="00BF3F3C" w:rsidP="007945AC">
      <w:pPr>
        <w:rPr>
          <w:rtl/>
        </w:rPr>
      </w:pPr>
      <w:r>
        <w:rPr>
          <w:rtl/>
        </w:rPr>
        <w:t>רבי עקיבא איגר טוען כי כל דבר שנעשה בתנאי עומד בפני שתי אופציות שוות: אפשר לקיימו על ידי קיום התנאי או לבטלו על ידי אי-קיום התנאי. לכן האומר 'אמן' אחר שמיעת תנאי, מקבל עליו את שתי האפשרויות הללו באותה מידה. לפי זה, דברי רש"י, הסובר ש'אמן' מחייב דווקא את קיום התנאי, אינם מובנים.</w:t>
      </w:r>
    </w:p>
    <w:p w:rsidR="007945AC" w:rsidRDefault="00BF3F3C" w:rsidP="00BF3F3C">
      <w:pPr>
        <w:rPr>
          <w:rtl/>
        </w:rPr>
      </w:pPr>
      <w:r>
        <w:rPr>
          <w:rtl/>
        </w:rPr>
        <w:t xml:space="preserve">בהסבר שיטת רש"י נראה לחדש שאין תנאי מוגדר כשתי אפשרויות שוות. יש לתנאי מגמה מסוימת. מקור משפטי התנאים הלוא הוא תנאי בני גד ובני ראובן: </w:t>
      </w:r>
    </w:p>
    <w:p w:rsidR="007945AC" w:rsidRDefault="00BF3F3C" w:rsidP="007945AC">
      <w:pPr>
        <w:pStyle w:val="a0"/>
        <w:rPr>
          <w:rtl/>
        </w:rPr>
      </w:pPr>
      <w:r>
        <w:rPr>
          <w:rtl/>
        </w:rPr>
        <w:t xml:space="preserve">"ויאמר אליהם משה אם תעשון את הדבר הזה אם תחלצו לפני ה' למלחמה. ועבר לכם כל חלוץ את הירדן לפני ה' עד הורישו את </w:t>
      </w:r>
      <w:proofErr w:type="spellStart"/>
      <w:r>
        <w:rPr>
          <w:rtl/>
        </w:rPr>
        <w:t>איביו</w:t>
      </w:r>
      <w:proofErr w:type="spellEnd"/>
      <w:r>
        <w:rPr>
          <w:rtl/>
        </w:rPr>
        <w:t xml:space="preserve"> מפניו. ונכבשה הארץ לפני ה' ואחר תשבו והייתם נקים מה' ומישראל </w:t>
      </w:r>
      <w:proofErr w:type="spellStart"/>
      <w:r>
        <w:rPr>
          <w:rtl/>
        </w:rPr>
        <w:t>והיתה</w:t>
      </w:r>
      <w:proofErr w:type="spellEnd"/>
      <w:r>
        <w:rPr>
          <w:rtl/>
        </w:rPr>
        <w:t xml:space="preserve"> הארץ הזאת לכם לאחזה לפני ה'. ואם לא תעשון כן הנה חטאתם לה' ודעו חטאתכם אשר תמצא אתכם" </w:t>
      </w:r>
      <w:r w:rsidR="007945AC">
        <w:rPr>
          <w:rtl/>
        </w:rPr>
        <w:tab/>
      </w:r>
      <w:r>
        <w:rPr>
          <w:rtl/>
        </w:rPr>
        <w:t>(במדבר ל"ב, כ-</w:t>
      </w:r>
      <w:proofErr w:type="spellStart"/>
      <w:r>
        <w:rPr>
          <w:rtl/>
        </w:rPr>
        <w:t>כג</w:t>
      </w:r>
      <w:proofErr w:type="spellEnd"/>
      <w:r>
        <w:rPr>
          <w:rtl/>
        </w:rPr>
        <w:t xml:space="preserve">). </w:t>
      </w:r>
    </w:p>
    <w:p w:rsidR="007945AC" w:rsidRDefault="00BF3F3C" w:rsidP="00BF3F3C">
      <w:pPr>
        <w:rPr>
          <w:rtl/>
        </w:rPr>
      </w:pPr>
      <w:r>
        <w:rPr>
          <w:rtl/>
        </w:rPr>
        <w:lastRenderedPageBreak/>
        <w:t xml:space="preserve">שם ברור שמגמת התנאי הייתה לחייב את בני גד ובני ראובן להשתתף בכיבוש הארץ. וכן מצאנו שהם קיבלו עליהם דווקא את הצד הזה של התנאי: </w:t>
      </w:r>
    </w:p>
    <w:p w:rsidR="007945AC" w:rsidRDefault="00BF3F3C" w:rsidP="007945AC">
      <w:pPr>
        <w:pStyle w:val="a0"/>
        <w:rPr>
          <w:rtl/>
        </w:rPr>
      </w:pPr>
      <w:r>
        <w:rPr>
          <w:rtl/>
        </w:rPr>
        <w:t xml:space="preserve">"ויאמר בני גד ובני ראובן אל משה </w:t>
      </w:r>
      <w:proofErr w:type="spellStart"/>
      <w:r>
        <w:rPr>
          <w:rtl/>
        </w:rPr>
        <w:t>לאמר</w:t>
      </w:r>
      <w:proofErr w:type="spellEnd"/>
      <w:r>
        <w:rPr>
          <w:rtl/>
        </w:rPr>
        <w:t xml:space="preserve"> עבדיך יעשו כאשר אדני מצוה. </w:t>
      </w:r>
      <w:proofErr w:type="spellStart"/>
      <w:r>
        <w:rPr>
          <w:rtl/>
        </w:rPr>
        <w:t>טפנו</w:t>
      </w:r>
      <w:proofErr w:type="spellEnd"/>
      <w:r>
        <w:rPr>
          <w:rtl/>
        </w:rPr>
        <w:t xml:space="preserve"> נשינו מקננו וכל בהמתנו יהיו שם בערי הגלעד. ועבדיך יעברו כל חלוץ צבא לפני ה' למלחמה כאשר אדני דבר"</w:t>
      </w:r>
      <w:r w:rsidR="007945AC">
        <w:rPr>
          <w:rtl/>
        </w:rPr>
        <w:tab/>
      </w:r>
      <w:r w:rsidR="007945AC">
        <w:rPr>
          <w:rtl/>
        </w:rPr>
        <w:br/>
      </w:r>
      <w:r>
        <w:rPr>
          <w:rtl/>
        </w:rPr>
        <w:t xml:space="preserve"> </w:t>
      </w:r>
      <w:r w:rsidR="007945AC">
        <w:rPr>
          <w:rtl/>
        </w:rPr>
        <w:tab/>
      </w:r>
      <w:r>
        <w:rPr>
          <w:rtl/>
        </w:rPr>
        <w:t>(שם כה-</w:t>
      </w:r>
      <w:proofErr w:type="spellStart"/>
      <w:r>
        <w:rPr>
          <w:rtl/>
        </w:rPr>
        <w:t>כז</w:t>
      </w:r>
      <w:proofErr w:type="spellEnd"/>
      <w:r>
        <w:rPr>
          <w:rtl/>
        </w:rPr>
        <w:t xml:space="preserve">). </w:t>
      </w:r>
    </w:p>
    <w:p w:rsidR="00BF3F3C" w:rsidRDefault="00BF3F3C" w:rsidP="00BF3F3C">
      <w:pPr>
        <w:rPr>
          <w:rtl/>
        </w:rPr>
      </w:pPr>
      <w:r>
        <w:rPr>
          <w:rtl/>
        </w:rPr>
        <w:t>ואף משה חייב אותם בזה בלשון של קיום נדרים "</w:t>
      </w:r>
      <w:proofErr w:type="spellStart"/>
      <w:r>
        <w:rPr>
          <w:rtl/>
        </w:rPr>
        <w:t>והיצא</w:t>
      </w:r>
      <w:proofErr w:type="spellEnd"/>
      <w:r>
        <w:rPr>
          <w:rtl/>
        </w:rPr>
        <w:t xml:space="preserve"> מפיכם תעשו" (שם כד). לכן קבע רש"י שהעונה 'אמן' על שמיעת תנאי אינו מקבל עליו שתי אופציות, אלא קבלת הדברים על ידי </w:t>
      </w:r>
      <w:proofErr w:type="spellStart"/>
      <w:r>
        <w:rPr>
          <w:rtl/>
        </w:rPr>
        <w:t>ענייתו</w:t>
      </w:r>
      <w:proofErr w:type="spellEnd"/>
      <w:r>
        <w:rPr>
          <w:rtl/>
        </w:rPr>
        <w:t xml:space="preserve"> מחייבת אותו בקיום המגמה של אותו תנאי.</w:t>
      </w:r>
    </w:p>
    <w:p w:rsidR="007945AC" w:rsidRDefault="00BF3F3C" w:rsidP="007945AC">
      <w:pPr>
        <w:rPr>
          <w:rtl/>
        </w:rPr>
      </w:pPr>
      <w:r>
        <w:rPr>
          <w:rtl/>
        </w:rPr>
        <w:t xml:space="preserve">אלא שכל זה אינו אלא בתנאי שביד המתנה או ביד המקבל לקיים אותו. אבל אם התנה בדבר שאינו בידו, אי אפשר לדבר על מגמה. לאור הנ"ל נראה לפרש שהחידוש של דין תנאי, שלפיו אפשר לתלות חלות בהווה בקיום התנאי בעתיד, אינו אלא בתנאי שבידו, ואילו תנאי שאינו בידו, ואין בו שום מגמה, אינו כלול בחידוש זה. </w:t>
      </w:r>
      <w:proofErr w:type="spellStart"/>
      <w:r>
        <w:rPr>
          <w:rtl/>
        </w:rPr>
        <w:t>הילכך</w:t>
      </w:r>
      <w:proofErr w:type="spellEnd"/>
      <w:r>
        <w:rPr>
          <w:rtl/>
        </w:rPr>
        <w:t>, אם התנה בדבר שאינו בידו, המעשה לא יחול אם לא התמלאו התנאים הדרושים בשעת החלות. לכן אם התנאי שאינו בידו הוא בדבר שעתיד להתרחש, המעשה לא יחול לפי הדעה שאין ברירה. אבל אם יש ברירה, אזי ההווה מתברר על בסיס העתיד, ולכן אם התנאי יתקיים בעתיד, יחול המעשה למפרע. לפי זה דברי רש"י אינם מצומצמים לתנאי שביד המתנה, וגם אם התנאי ביד הצד השני אין אנו זקוקים לדין ברירה. וכך פירש הרמב"ן את שיטת רש"י</w:t>
      </w:r>
      <w:r w:rsidR="007945AC">
        <w:rPr>
          <w:rtl/>
        </w:rPr>
        <w:t>:</w:t>
      </w:r>
      <w:r>
        <w:rPr>
          <w:rtl/>
        </w:rPr>
        <w:t xml:space="preserve"> </w:t>
      </w:r>
    </w:p>
    <w:p w:rsidR="00BF3F3C" w:rsidRDefault="00BF3F3C" w:rsidP="007945AC">
      <w:pPr>
        <w:pStyle w:val="a0"/>
        <w:rPr>
          <w:rtl/>
        </w:rPr>
      </w:pPr>
      <w:r>
        <w:rPr>
          <w:rtl/>
        </w:rPr>
        <w:t xml:space="preserve">"אם כן אפילו אמר לאשה 'על מנת שתתני לי מאתים זוז' </w:t>
      </w:r>
      <w:proofErr w:type="spellStart"/>
      <w:r>
        <w:rPr>
          <w:rtl/>
        </w:rPr>
        <w:t>נמי</w:t>
      </w:r>
      <w:proofErr w:type="spellEnd"/>
      <w:r>
        <w:rPr>
          <w:rtl/>
        </w:rPr>
        <w:t xml:space="preserve"> </w:t>
      </w:r>
      <w:proofErr w:type="spellStart"/>
      <w:r>
        <w:rPr>
          <w:rtl/>
        </w:rPr>
        <w:t>נימא</w:t>
      </w:r>
      <w:proofErr w:type="spellEnd"/>
      <w:r>
        <w:rPr>
          <w:rtl/>
        </w:rPr>
        <w:t xml:space="preserve"> הכי, אלא שיש לומר תנאי שביד </w:t>
      </w:r>
      <w:proofErr w:type="spellStart"/>
      <w:r>
        <w:rPr>
          <w:rtl/>
        </w:rPr>
        <w:t>אשה</w:t>
      </w:r>
      <w:proofErr w:type="spellEnd"/>
      <w:r>
        <w:rPr>
          <w:rtl/>
        </w:rPr>
        <w:t xml:space="preserve"> כתנאי שבידו דמי וסמך דעתו עליו משעת נתינה".</w:t>
      </w:r>
    </w:p>
    <w:p w:rsidR="00F078D5" w:rsidRDefault="00BF3F3C" w:rsidP="00F078D5">
      <w:pPr>
        <w:rPr>
          <w:rtl/>
        </w:rPr>
      </w:pPr>
      <w:r>
        <w:rPr>
          <w:rtl/>
        </w:rPr>
        <w:t>אולם</w:t>
      </w:r>
      <w:r w:rsidR="00F078D5">
        <w:rPr>
          <w:rtl/>
        </w:rPr>
        <w:t>, הוא דחה את פירושו זה של רש"י וכתב:</w:t>
      </w:r>
    </w:p>
    <w:p w:rsidR="00BF3F3C" w:rsidRDefault="00BF3F3C" w:rsidP="00F078D5">
      <w:pPr>
        <w:pStyle w:val="a0"/>
        <w:rPr>
          <w:rtl/>
        </w:rPr>
      </w:pPr>
      <w:r>
        <w:rPr>
          <w:rtl/>
        </w:rPr>
        <w:t xml:space="preserve">"ולפי זה הפירוש, 'מעכשיו אם מתי' ו'מהיום אם מתי' </w:t>
      </w:r>
      <w:proofErr w:type="spellStart"/>
      <w:r>
        <w:rPr>
          <w:rtl/>
        </w:rPr>
        <w:t>וכולהו</w:t>
      </w:r>
      <w:proofErr w:type="spellEnd"/>
      <w:r>
        <w:rPr>
          <w:rtl/>
        </w:rPr>
        <w:t xml:space="preserve"> </w:t>
      </w:r>
      <w:proofErr w:type="spellStart"/>
      <w:r>
        <w:rPr>
          <w:rtl/>
        </w:rPr>
        <w:t>גיטי</w:t>
      </w:r>
      <w:proofErr w:type="spellEnd"/>
      <w:r>
        <w:rPr>
          <w:rtl/>
        </w:rPr>
        <w:t xml:space="preserve"> </w:t>
      </w:r>
      <w:proofErr w:type="spellStart"/>
      <w:r>
        <w:rPr>
          <w:rtl/>
        </w:rPr>
        <w:t>דשכיב</w:t>
      </w:r>
      <w:proofErr w:type="spellEnd"/>
      <w:r>
        <w:rPr>
          <w:rtl/>
        </w:rPr>
        <w:t xml:space="preserve"> מרע, למאן דלית ליה ברירה לא הוי </w:t>
      </w:r>
      <w:proofErr w:type="spellStart"/>
      <w:r>
        <w:rPr>
          <w:rtl/>
        </w:rPr>
        <w:t>גיטא</w:t>
      </w:r>
      <w:proofErr w:type="spellEnd"/>
      <w:r>
        <w:rPr>
          <w:rtl/>
        </w:rPr>
        <w:t xml:space="preserve">. </w:t>
      </w:r>
      <w:proofErr w:type="spellStart"/>
      <w:r>
        <w:rPr>
          <w:rtl/>
        </w:rPr>
        <w:t>וקשיא</w:t>
      </w:r>
      <w:proofErr w:type="spellEnd"/>
      <w:r>
        <w:rPr>
          <w:rtl/>
        </w:rPr>
        <w:t xml:space="preserve"> לן הא מילתא </w:t>
      </w:r>
      <w:proofErr w:type="spellStart"/>
      <w:r>
        <w:rPr>
          <w:rtl/>
        </w:rPr>
        <w:t>טובא</w:t>
      </w:r>
      <w:proofErr w:type="spellEnd"/>
      <w:r>
        <w:rPr>
          <w:rtl/>
        </w:rPr>
        <w:t xml:space="preserve">, </w:t>
      </w:r>
      <w:proofErr w:type="spellStart"/>
      <w:r>
        <w:rPr>
          <w:rtl/>
        </w:rPr>
        <w:t>דקיימא</w:t>
      </w:r>
      <w:proofErr w:type="spellEnd"/>
      <w:r>
        <w:rPr>
          <w:rtl/>
        </w:rPr>
        <w:t xml:space="preserve"> לן </w:t>
      </w:r>
      <w:proofErr w:type="spellStart"/>
      <w:r>
        <w:rPr>
          <w:rtl/>
        </w:rPr>
        <w:t>בדאורייתא</w:t>
      </w:r>
      <w:proofErr w:type="spellEnd"/>
      <w:r>
        <w:rPr>
          <w:rtl/>
        </w:rPr>
        <w:t xml:space="preserve"> אין ברירה, כר' </w:t>
      </w:r>
      <w:proofErr w:type="spellStart"/>
      <w:r>
        <w:rPr>
          <w:rtl/>
        </w:rPr>
        <w:t>אושעיא</w:t>
      </w:r>
      <w:proofErr w:type="spellEnd"/>
      <w:r>
        <w:rPr>
          <w:rtl/>
        </w:rPr>
        <w:t xml:space="preserve"> </w:t>
      </w:r>
      <w:proofErr w:type="spellStart"/>
      <w:r>
        <w:rPr>
          <w:rtl/>
        </w:rPr>
        <w:t>דאמר</w:t>
      </w:r>
      <w:proofErr w:type="spellEnd"/>
      <w:r>
        <w:rPr>
          <w:rtl/>
        </w:rPr>
        <w:t xml:space="preserve"> הכי </w:t>
      </w:r>
      <w:proofErr w:type="spellStart"/>
      <w:r>
        <w:rPr>
          <w:rtl/>
        </w:rPr>
        <w:t>בפ</w:t>
      </w:r>
      <w:proofErr w:type="spellEnd"/>
      <w:r>
        <w:rPr>
          <w:rtl/>
        </w:rPr>
        <w:t xml:space="preserve">' </w:t>
      </w:r>
      <w:proofErr w:type="spellStart"/>
      <w:r>
        <w:rPr>
          <w:rtl/>
        </w:rPr>
        <w:t>משילין</w:t>
      </w:r>
      <w:proofErr w:type="spellEnd"/>
      <w:r>
        <w:rPr>
          <w:rtl/>
        </w:rPr>
        <w:t xml:space="preserve"> (ביצה </w:t>
      </w:r>
      <w:proofErr w:type="spellStart"/>
      <w:r>
        <w:rPr>
          <w:rtl/>
        </w:rPr>
        <w:t>לז</w:t>
      </w:r>
      <w:proofErr w:type="spellEnd"/>
      <w:r>
        <w:rPr>
          <w:rtl/>
        </w:rPr>
        <w:t xml:space="preserve">:), ודרש </w:t>
      </w:r>
      <w:proofErr w:type="spellStart"/>
      <w:r>
        <w:rPr>
          <w:rtl/>
        </w:rPr>
        <w:t>אמימר</w:t>
      </w:r>
      <w:proofErr w:type="spellEnd"/>
      <w:r>
        <w:rPr>
          <w:rtl/>
        </w:rPr>
        <w:t xml:space="preserve"> הלכה כר' </w:t>
      </w:r>
      <w:proofErr w:type="spellStart"/>
      <w:r>
        <w:rPr>
          <w:rtl/>
        </w:rPr>
        <w:t>אושעיא</w:t>
      </w:r>
      <w:proofErr w:type="spellEnd"/>
      <w:r>
        <w:rPr>
          <w:rtl/>
        </w:rPr>
        <w:t xml:space="preserve">, </w:t>
      </w:r>
      <w:proofErr w:type="spellStart"/>
      <w:r>
        <w:rPr>
          <w:rtl/>
        </w:rPr>
        <w:t>והכא</w:t>
      </w:r>
      <w:proofErr w:type="spellEnd"/>
      <w:r>
        <w:rPr>
          <w:rtl/>
        </w:rPr>
        <w:t xml:space="preserve"> קיימא לן </w:t>
      </w:r>
      <w:proofErr w:type="spellStart"/>
      <w:r>
        <w:rPr>
          <w:rtl/>
        </w:rPr>
        <w:t>דכי</w:t>
      </w:r>
      <w:proofErr w:type="spellEnd"/>
      <w:r>
        <w:rPr>
          <w:rtl/>
        </w:rPr>
        <w:t xml:space="preserve"> </w:t>
      </w:r>
      <w:proofErr w:type="spellStart"/>
      <w:r>
        <w:rPr>
          <w:rtl/>
        </w:rPr>
        <w:t>מיית</w:t>
      </w:r>
      <w:proofErr w:type="spellEnd"/>
      <w:r>
        <w:rPr>
          <w:rtl/>
        </w:rPr>
        <w:t xml:space="preserve"> הוי </w:t>
      </w:r>
      <w:proofErr w:type="spellStart"/>
      <w:r>
        <w:rPr>
          <w:rtl/>
        </w:rPr>
        <w:t>גיטא</w:t>
      </w:r>
      <w:proofErr w:type="spellEnd"/>
      <w:r>
        <w:rPr>
          <w:rtl/>
        </w:rPr>
        <w:t xml:space="preserve">. ועוד, </w:t>
      </w:r>
      <w:proofErr w:type="spellStart"/>
      <w:r>
        <w:rPr>
          <w:rtl/>
        </w:rPr>
        <w:t>דאשכחן</w:t>
      </w:r>
      <w:proofErr w:type="spellEnd"/>
      <w:r>
        <w:rPr>
          <w:rtl/>
        </w:rPr>
        <w:t xml:space="preserve"> לשמואל דלית ליה ברירה, </w:t>
      </w:r>
      <w:proofErr w:type="spellStart"/>
      <w:r>
        <w:rPr>
          <w:rtl/>
        </w:rPr>
        <w:t>דאמר</w:t>
      </w:r>
      <w:proofErr w:type="spellEnd"/>
      <w:r>
        <w:rPr>
          <w:rtl/>
        </w:rPr>
        <w:t xml:space="preserve"> </w:t>
      </w:r>
      <w:proofErr w:type="spellStart"/>
      <w:r>
        <w:rPr>
          <w:rtl/>
        </w:rPr>
        <w:t>בפ</w:t>
      </w:r>
      <w:proofErr w:type="spellEnd"/>
      <w:r>
        <w:rPr>
          <w:rtl/>
        </w:rPr>
        <w:t xml:space="preserve">' בית כור (בבא </w:t>
      </w:r>
      <w:proofErr w:type="spellStart"/>
      <w:r>
        <w:rPr>
          <w:rtl/>
        </w:rPr>
        <w:t>בתרא</w:t>
      </w:r>
      <w:proofErr w:type="spellEnd"/>
      <w:r>
        <w:rPr>
          <w:rtl/>
        </w:rPr>
        <w:t xml:space="preserve"> </w:t>
      </w:r>
      <w:proofErr w:type="spellStart"/>
      <w:r>
        <w:rPr>
          <w:rtl/>
        </w:rPr>
        <w:t>קז</w:t>
      </w:r>
      <w:proofErr w:type="spellEnd"/>
      <w:r>
        <w:rPr>
          <w:rtl/>
        </w:rPr>
        <w:t xml:space="preserve">.): </w:t>
      </w:r>
      <w:proofErr w:type="spellStart"/>
      <w:r>
        <w:rPr>
          <w:rtl/>
        </w:rPr>
        <w:t>האחין</w:t>
      </w:r>
      <w:proofErr w:type="spellEnd"/>
      <w:r>
        <w:rPr>
          <w:rtl/>
        </w:rPr>
        <w:t xml:space="preserve"> שחלקו לקוחות הן, </w:t>
      </w:r>
      <w:proofErr w:type="spellStart"/>
      <w:r>
        <w:rPr>
          <w:rtl/>
        </w:rPr>
        <w:t>אלמא</w:t>
      </w:r>
      <w:proofErr w:type="spellEnd"/>
      <w:r>
        <w:rPr>
          <w:rtl/>
        </w:rPr>
        <w:t xml:space="preserve"> אין ברירה, </w:t>
      </w:r>
      <w:proofErr w:type="spellStart"/>
      <w:r>
        <w:rPr>
          <w:rtl/>
        </w:rPr>
        <w:t>ובפ</w:t>
      </w:r>
      <w:proofErr w:type="spellEnd"/>
      <w:r>
        <w:rPr>
          <w:rtl/>
        </w:rPr>
        <w:t xml:space="preserve">' </w:t>
      </w:r>
      <w:proofErr w:type="spellStart"/>
      <w:r>
        <w:rPr>
          <w:rtl/>
        </w:rPr>
        <w:t>משילין</w:t>
      </w:r>
      <w:proofErr w:type="spellEnd"/>
      <w:r>
        <w:rPr>
          <w:rtl/>
        </w:rPr>
        <w:t xml:space="preserve"> אמר: אפי' חבית אסורה, </w:t>
      </w:r>
      <w:proofErr w:type="spellStart"/>
      <w:r>
        <w:rPr>
          <w:rtl/>
        </w:rPr>
        <w:t>אלמא</w:t>
      </w:r>
      <w:proofErr w:type="spellEnd"/>
      <w:r>
        <w:rPr>
          <w:rtl/>
        </w:rPr>
        <w:t xml:space="preserve"> </w:t>
      </w:r>
      <w:proofErr w:type="spellStart"/>
      <w:r>
        <w:rPr>
          <w:rtl/>
        </w:rPr>
        <w:t>קסבר</w:t>
      </w:r>
      <w:proofErr w:type="spellEnd"/>
      <w:r>
        <w:rPr>
          <w:rtl/>
        </w:rPr>
        <w:t xml:space="preserve"> אין ברירה ואפילו בדרבנן, ואשכחן ליה </w:t>
      </w:r>
      <w:proofErr w:type="spellStart"/>
      <w:r>
        <w:rPr>
          <w:rtl/>
        </w:rPr>
        <w:t>דאמר</w:t>
      </w:r>
      <w:proofErr w:type="spellEnd"/>
      <w:r>
        <w:rPr>
          <w:rtl/>
        </w:rPr>
        <w:t xml:space="preserve"> ב'מעכשיו אם מתי' </w:t>
      </w:r>
      <w:proofErr w:type="spellStart"/>
      <w:r>
        <w:rPr>
          <w:rtl/>
        </w:rPr>
        <w:t>דלכי</w:t>
      </w:r>
      <w:proofErr w:type="spellEnd"/>
      <w:r>
        <w:rPr>
          <w:rtl/>
        </w:rPr>
        <w:t xml:space="preserve"> </w:t>
      </w:r>
      <w:proofErr w:type="spellStart"/>
      <w:r>
        <w:rPr>
          <w:rtl/>
        </w:rPr>
        <w:t>מיית</w:t>
      </w:r>
      <w:proofErr w:type="spellEnd"/>
      <w:r>
        <w:rPr>
          <w:rtl/>
        </w:rPr>
        <w:t xml:space="preserve"> הוי </w:t>
      </w:r>
      <w:proofErr w:type="spellStart"/>
      <w:r>
        <w:rPr>
          <w:rtl/>
        </w:rPr>
        <w:t>גיטא</w:t>
      </w:r>
      <w:proofErr w:type="spellEnd"/>
      <w:r>
        <w:rPr>
          <w:rtl/>
        </w:rPr>
        <w:t xml:space="preserve">, </w:t>
      </w:r>
      <w:proofErr w:type="spellStart"/>
      <w:r>
        <w:rPr>
          <w:rtl/>
        </w:rPr>
        <w:t>דאמרינן</w:t>
      </w:r>
      <w:proofErr w:type="spellEnd"/>
      <w:r>
        <w:rPr>
          <w:rtl/>
        </w:rPr>
        <w:t xml:space="preserve"> לקמן (</w:t>
      </w:r>
      <w:proofErr w:type="spellStart"/>
      <w:r>
        <w:rPr>
          <w:rtl/>
        </w:rPr>
        <w:t>עה</w:t>
      </w:r>
      <w:proofErr w:type="spellEnd"/>
      <w:r>
        <w:rPr>
          <w:rtl/>
        </w:rPr>
        <w:t xml:space="preserve">:): אתקין שמואל </w:t>
      </w:r>
      <w:proofErr w:type="spellStart"/>
      <w:r>
        <w:rPr>
          <w:rtl/>
        </w:rPr>
        <w:t>בגיטא</w:t>
      </w:r>
      <w:proofErr w:type="spellEnd"/>
      <w:r>
        <w:rPr>
          <w:rtl/>
        </w:rPr>
        <w:t xml:space="preserve"> </w:t>
      </w:r>
      <w:proofErr w:type="spellStart"/>
      <w:r>
        <w:rPr>
          <w:rtl/>
        </w:rPr>
        <w:t>דשכיב</w:t>
      </w:r>
      <w:proofErr w:type="spellEnd"/>
      <w:r>
        <w:rPr>
          <w:rtl/>
        </w:rPr>
        <w:t xml:space="preserve"> מרע: אם לא מתי לא יהא גט, ואם מתי יהא גט, ואם לא מתי לא יהא גט".</w:t>
      </w:r>
    </w:p>
    <w:p w:rsidR="00F078D5" w:rsidRDefault="00BF3F3C" w:rsidP="00F078D5">
      <w:pPr>
        <w:rPr>
          <w:rtl/>
        </w:rPr>
      </w:pPr>
      <w:r>
        <w:rPr>
          <w:rtl/>
        </w:rPr>
        <w:t xml:space="preserve">תוספות הסכימו לשיטת רש"י, אך הם מעירים שרק השאלה השנייה (מ"על מנת שירצה אבא") מחייבת פירוש </w:t>
      </w:r>
      <w:r>
        <w:rPr>
          <w:rtl/>
        </w:rPr>
        <w:lastRenderedPageBreak/>
        <w:t xml:space="preserve">זה. באשר ל"הרי זה </w:t>
      </w:r>
      <w:proofErr w:type="spellStart"/>
      <w:r>
        <w:rPr>
          <w:rtl/>
        </w:rPr>
        <w:t>גיטיך</w:t>
      </w:r>
      <w:proofErr w:type="spellEnd"/>
      <w:r>
        <w:rPr>
          <w:rtl/>
        </w:rPr>
        <w:t xml:space="preserve"> מהיום אם מתי מחולי זה", הם טוענים, ברור גם בלא חידושו של רש"י ש</w:t>
      </w:r>
      <w:r w:rsidR="00F078D5">
        <w:rPr>
          <w:rtl/>
        </w:rPr>
        <w:t>צריך את</w:t>
      </w:r>
      <w:r>
        <w:rPr>
          <w:rtl/>
        </w:rPr>
        <w:t xml:space="preserve"> דין ברירה. וז</w:t>
      </w:r>
      <w:r w:rsidR="00F078D5">
        <w:rPr>
          <w:rtl/>
        </w:rPr>
        <w:t>ו</w:t>
      </w:r>
      <w:r>
        <w:rPr>
          <w:rtl/>
        </w:rPr>
        <w:t xml:space="preserve"> לשונם: </w:t>
      </w:r>
    </w:p>
    <w:p w:rsidR="00F078D5" w:rsidRDefault="00BF3F3C" w:rsidP="00F078D5">
      <w:pPr>
        <w:pStyle w:val="a0"/>
        <w:rPr>
          <w:rtl/>
        </w:rPr>
      </w:pPr>
      <w:r>
        <w:rPr>
          <w:rtl/>
        </w:rPr>
        <w:t xml:space="preserve">"ומיהו הכא על </w:t>
      </w:r>
      <w:proofErr w:type="spellStart"/>
      <w:r>
        <w:rPr>
          <w:rtl/>
        </w:rPr>
        <w:t>כרחך</w:t>
      </w:r>
      <w:proofErr w:type="spellEnd"/>
      <w:r>
        <w:rPr>
          <w:rtl/>
        </w:rPr>
        <w:t xml:space="preserve"> אי אפשר אלא מטעם ברירה, כיון </w:t>
      </w:r>
      <w:proofErr w:type="spellStart"/>
      <w:r>
        <w:rPr>
          <w:rtl/>
        </w:rPr>
        <w:t>דמוקי</w:t>
      </w:r>
      <w:proofErr w:type="spellEnd"/>
      <w:r>
        <w:rPr>
          <w:rtl/>
        </w:rPr>
        <w:t xml:space="preserve"> לה במי שאחזו (לקמן דף </w:t>
      </w:r>
      <w:proofErr w:type="spellStart"/>
      <w:r>
        <w:rPr>
          <w:rtl/>
        </w:rPr>
        <w:t>עג</w:t>
      </w:r>
      <w:proofErr w:type="spellEnd"/>
      <w:r>
        <w:rPr>
          <w:rtl/>
        </w:rPr>
        <w:t xml:space="preserve">:) באומר 'מעת שאני בעולם', פירוש: שעה אחת קודם מיתתו, ואותה שעה שהגט חל אינה מבוררת וידוע, וצריך ברירה". </w:t>
      </w:r>
    </w:p>
    <w:p w:rsidR="00BF3F3C" w:rsidRDefault="00BF3F3C" w:rsidP="00F078D5">
      <w:pPr>
        <w:rPr>
          <w:rtl/>
        </w:rPr>
      </w:pPr>
      <w:r>
        <w:rPr>
          <w:rtl/>
        </w:rPr>
        <w:t>גם תוספות מסכימים ש</w:t>
      </w:r>
      <w:r w:rsidR="00F078D5">
        <w:rPr>
          <w:rtl/>
        </w:rPr>
        <w:t xml:space="preserve">מדובר </w:t>
      </w:r>
      <w:r>
        <w:rPr>
          <w:rtl/>
        </w:rPr>
        <w:t xml:space="preserve">בתנאי, אך מכל מקום </w:t>
      </w:r>
      <w:r w:rsidR="00F078D5">
        <w:rPr>
          <w:rtl/>
        </w:rPr>
        <w:t xml:space="preserve">לדעתם </w:t>
      </w:r>
      <w:r>
        <w:rPr>
          <w:rtl/>
        </w:rPr>
        <w:t>שייך כאן דין ברירה. הסיבה לכך היא שהגמרא (</w:t>
      </w:r>
      <w:proofErr w:type="spellStart"/>
      <w:r>
        <w:rPr>
          <w:rtl/>
        </w:rPr>
        <w:t>עג</w:t>
      </w:r>
      <w:proofErr w:type="spellEnd"/>
      <w:r>
        <w:rPr>
          <w:rtl/>
        </w:rPr>
        <w:t xml:space="preserve">:) כבר ביארה כי אין מדובר כאן בתנאי רגיל, כפשטות המילים "הרי זה </w:t>
      </w:r>
      <w:proofErr w:type="spellStart"/>
      <w:r>
        <w:rPr>
          <w:rtl/>
        </w:rPr>
        <w:t>גיטיך</w:t>
      </w:r>
      <w:proofErr w:type="spellEnd"/>
      <w:r>
        <w:rPr>
          <w:rtl/>
        </w:rPr>
        <w:t xml:space="preserve"> אם מתי מחולי זה", שהרי לפי פשטות זו הגט יחול רק לאחר מיתה, וכלל הוא בידינו ש"אין גט לאחר מיתה" (עיין דף </w:t>
      </w:r>
      <w:proofErr w:type="spellStart"/>
      <w:r>
        <w:rPr>
          <w:rtl/>
        </w:rPr>
        <w:t>עג</w:t>
      </w:r>
      <w:proofErr w:type="spellEnd"/>
      <w:r>
        <w:rPr>
          <w:rtl/>
        </w:rPr>
        <w:t xml:space="preserve">:). מאידך, אין הבעל רוצה שאם ימות יחול הגט כבר מעכשיו, שהרי כל עוד הוא חי מעוניין הוא לחיות עם אשתו. לכן קבע הבעל זמן לפני המיתה לחלות הגירושין (ובלבד שיתקיים התנאי, כמובן), וזמן זה הוא שעה אחת קודם מיתתו. שעת חלות הגט הזאת אינה מבוררת, שהרי רק לאחר שימות נוכל לברר למפרע ולחשב מהי אותה "שעה אחת קודם", ותוספות סבורים שחלות הגט בשעה שאינה מבוררת בשעת ההתניה תלויה בדין ברירה: הלוא שעה זו קיימת רק למאן </w:t>
      </w:r>
      <w:proofErr w:type="spellStart"/>
      <w:r>
        <w:rPr>
          <w:rtl/>
        </w:rPr>
        <w:t>דאמר</w:t>
      </w:r>
      <w:proofErr w:type="spellEnd"/>
      <w:r>
        <w:rPr>
          <w:rtl/>
        </w:rPr>
        <w:t xml:space="preserve"> יש ברירה; לשיטתו, שעה לפני המיתה היא שעה מוגדרת גם בשעתו, ו</w:t>
      </w:r>
      <w:r w:rsidR="00F078D5">
        <w:rPr>
          <w:rtl/>
        </w:rPr>
        <w:t>למרות</w:t>
      </w:r>
      <w:r>
        <w:rPr>
          <w:rtl/>
        </w:rPr>
        <w:t xml:space="preserve"> שהיא תתברר לנו רק כשימות, מכ</w:t>
      </w:r>
      <w:r w:rsidR="00F078D5">
        <w:rPr>
          <w:rtl/>
        </w:rPr>
        <w:t>ל מקום גם עכשיו זמן הגירושין</w:t>
      </w:r>
      <w:r>
        <w:rPr>
          <w:rtl/>
        </w:rPr>
        <w:t xml:space="preserve"> ברור, ואין לנו אלא חסרון ידיעה לגביו. א</w:t>
      </w:r>
      <w:r w:rsidR="00F078D5">
        <w:rPr>
          <w:rtl/>
        </w:rPr>
        <w:t xml:space="preserve">ולם, </w:t>
      </w:r>
      <w:r>
        <w:rPr>
          <w:rtl/>
        </w:rPr>
        <w:t>למאן דלית ליה ברירה, שעה זו אינה קיימת כלל. כל עוד הבעל לא מת, אין "שעה אחת קודם שימות". לכן הגט יכול לחול שעה אחת קודם מיתת הבעל רק למאן דאית ליה ברירה.</w:t>
      </w:r>
    </w:p>
    <w:p w:rsidR="00F078D5" w:rsidRDefault="00BF3F3C" w:rsidP="00F078D5">
      <w:pPr>
        <w:rPr>
          <w:rtl/>
        </w:rPr>
      </w:pPr>
      <w:r>
        <w:rPr>
          <w:rtl/>
        </w:rPr>
        <w:t xml:space="preserve">נראה שתירוץ זה לקושיה הראשונה אכן מסתבר, ואתי שפיר מה שתלתה הגמרא חלות הגט "שעה אחת קודם </w:t>
      </w:r>
      <w:proofErr w:type="spellStart"/>
      <w:r>
        <w:rPr>
          <w:rtl/>
        </w:rPr>
        <w:t>מיתתי</w:t>
      </w:r>
      <w:proofErr w:type="spellEnd"/>
      <w:r>
        <w:rPr>
          <w:rtl/>
        </w:rPr>
        <w:t>" בדין ברירה. נותרנו, אם כן, עם הבעיה השנייה שהעלינו: המשך הסוגי</w:t>
      </w:r>
      <w:r w:rsidR="00F078D5">
        <w:rPr>
          <w:rtl/>
        </w:rPr>
        <w:t>ה</w:t>
      </w:r>
      <w:r>
        <w:rPr>
          <w:rtl/>
        </w:rPr>
        <w:t xml:space="preserve"> תולה בדין ברירה את הברייתא</w:t>
      </w:r>
      <w:r w:rsidR="00F078D5">
        <w:rPr>
          <w:rtl/>
        </w:rPr>
        <w:t>:</w:t>
      </w:r>
    </w:p>
    <w:p w:rsidR="00F078D5" w:rsidRDefault="00BF3F3C" w:rsidP="00F078D5">
      <w:pPr>
        <w:pStyle w:val="a0"/>
        <w:rPr>
          <w:rtl/>
        </w:rPr>
      </w:pPr>
      <w:r>
        <w:rPr>
          <w:rtl/>
        </w:rPr>
        <w:t xml:space="preserve">"הריני </w:t>
      </w:r>
      <w:proofErr w:type="spellStart"/>
      <w:r>
        <w:rPr>
          <w:rtl/>
        </w:rPr>
        <w:t>בועליך</w:t>
      </w:r>
      <w:proofErr w:type="spellEnd"/>
      <w:r>
        <w:rPr>
          <w:rtl/>
        </w:rPr>
        <w:t xml:space="preserve"> על מנת שירצה אבא </w:t>
      </w:r>
      <w:proofErr w:type="spellStart"/>
      <w:r>
        <w:rPr>
          <w:rtl/>
        </w:rPr>
        <w:t>וכו</w:t>
      </w:r>
      <w:proofErr w:type="spellEnd"/>
      <w:r>
        <w:rPr>
          <w:rtl/>
        </w:rPr>
        <w:t xml:space="preserve">'. רבי שמעון בן יהודה אומר משום רבי שמעון: רצה האב - מקודשת, לא רצה האב - אינה מקודשת". </w:t>
      </w:r>
    </w:p>
    <w:p w:rsidR="00BF3F3C" w:rsidRDefault="00BF3F3C" w:rsidP="00F078D5">
      <w:pPr>
        <w:rPr>
          <w:rtl/>
        </w:rPr>
      </w:pPr>
      <w:r>
        <w:rPr>
          <w:rtl/>
        </w:rPr>
        <w:t>וקשה</w:t>
      </w:r>
      <w:r w:rsidR="00F078D5">
        <w:rPr>
          <w:rtl/>
        </w:rPr>
        <w:t>, שהרי</w:t>
      </w:r>
      <w:r>
        <w:rPr>
          <w:rtl/>
        </w:rPr>
        <w:t xml:space="preserve"> לכאורה </w:t>
      </w:r>
      <w:r w:rsidR="00F078D5">
        <w:rPr>
          <w:rtl/>
        </w:rPr>
        <w:t xml:space="preserve">מדובר </w:t>
      </w:r>
      <w:r>
        <w:rPr>
          <w:rtl/>
        </w:rPr>
        <w:t xml:space="preserve">בתנאי רגיל, ואין רצון האב אלא קיום התנאי. לכן לא שייך בזה דין ברירה </w:t>
      </w:r>
      <w:r w:rsidR="00F078D5">
        <w:rPr>
          <w:rtl/>
        </w:rPr>
        <w:t>למרות</w:t>
      </w:r>
      <w:r>
        <w:rPr>
          <w:rtl/>
        </w:rPr>
        <w:t xml:space="preserve"> שהתנאי יתקיים רק בעתיד, וכמו שביררנו בשיעור הקודם.</w:t>
      </w:r>
    </w:p>
    <w:p w:rsidR="00BF3F3C" w:rsidRDefault="00BF3F3C" w:rsidP="00BF3F3C">
      <w:pPr>
        <w:pStyle w:val="2"/>
        <w:rPr>
          <w:rtl/>
        </w:rPr>
      </w:pPr>
      <w:r>
        <w:rPr>
          <w:rtl/>
        </w:rPr>
        <w:t>על מנת שירצה אבא</w:t>
      </w:r>
    </w:p>
    <w:p w:rsidR="00BF3F3C" w:rsidRDefault="00BF3F3C" w:rsidP="00F078D5">
      <w:pPr>
        <w:rPr>
          <w:rtl/>
        </w:rPr>
      </w:pPr>
      <w:r>
        <w:rPr>
          <w:rtl/>
        </w:rPr>
        <w:t>מובן שלפי רש"י, המחלק בין תנאי שבידו לקיים לבין תנאי שאין בידו לקיים, הוא הדין כאן. "על מנת שירצה אבא" אינו בידו, אלא תלוי הוא בדעת אחרים. לכן אין תנאי זה כשאר התנאים, וזקוק הוא לדין ברירה. ואמנם, בעלי התוספות קיבלו את שיטת רש"י רק מכוח קושי</w:t>
      </w:r>
      <w:r w:rsidR="00F078D5">
        <w:rPr>
          <w:rtl/>
        </w:rPr>
        <w:t>ה</w:t>
      </w:r>
      <w:r>
        <w:rPr>
          <w:rtl/>
        </w:rPr>
        <w:t xml:space="preserve"> זו, </w:t>
      </w:r>
      <w:proofErr w:type="spellStart"/>
      <w:r>
        <w:rPr>
          <w:rtl/>
        </w:rPr>
        <w:t>כדאמרינן</w:t>
      </w:r>
      <w:proofErr w:type="spellEnd"/>
      <w:r>
        <w:rPr>
          <w:rtl/>
        </w:rPr>
        <w:t xml:space="preserve"> לעיל. אלא שחילוק זה קשה לקבלו, כמו שהזכרנו למעלה.</w:t>
      </w:r>
    </w:p>
    <w:p w:rsidR="00F078D5" w:rsidRDefault="00BF3F3C" w:rsidP="00F078D5">
      <w:pPr>
        <w:rPr>
          <w:rtl/>
        </w:rPr>
      </w:pPr>
      <w:r>
        <w:rPr>
          <w:rtl/>
        </w:rPr>
        <w:t xml:space="preserve">ועיין בחידושים המיוחסים </w:t>
      </w:r>
      <w:proofErr w:type="spellStart"/>
      <w:r>
        <w:rPr>
          <w:rtl/>
        </w:rPr>
        <w:t>לריטב"א</w:t>
      </w:r>
      <w:proofErr w:type="spellEnd"/>
      <w:r>
        <w:rPr>
          <w:rtl/>
        </w:rPr>
        <w:t xml:space="preserve"> מכתב יד</w:t>
      </w:r>
      <w:r w:rsidR="00F078D5">
        <w:rPr>
          <w:rtl/>
        </w:rPr>
        <w:t>,</w:t>
      </w:r>
      <w:r>
        <w:rPr>
          <w:rtl/>
        </w:rPr>
        <w:t xml:space="preserve"> וז</w:t>
      </w:r>
      <w:r w:rsidR="00F078D5">
        <w:rPr>
          <w:rtl/>
        </w:rPr>
        <w:t>ו</w:t>
      </w:r>
      <w:r>
        <w:rPr>
          <w:rtl/>
        </w:rPr>
        <w:t xml:space="preserve"> לשונו:</w:t>
      </w:r>
    </w:p>
    <w:p w:rsidR="00F078D5" w:rsidRDefault="00BF3F3C" w:rsidP="00F078D5">
      <w:pPr>
        <w:pStyle w:val="a0"/>
        <w:rPr>
          <w:rtl/>
        </w:rPr>
      </w:pPr>
      <w:r>
        <w:rPr>
          <w:rtl/>
        </w:rPr>
        <w:lastRenderedPageBreak/>
        <w:t>"</w:t>
      </w:r>
      <w:proofErr w:type="spellStart"/>
      <w:r>
        <w:rPr>
          <w:rtl/>
        </w:rPr>
        <w:t>ר"ש</w:t>
      </w:r>
      <w:proofErr w:type="spellEnd"/>
      <w:r>
        <w:rPr>
          <w:rtl/>
        </w:rPr>
        <w:t xml:space="preserve"> אומר: רצה האב מקודשת לא רצה האב אינה מקודשת - פירוש: </w:t>
      </w:r>
      <w:proofErr w:type="spellStart"/>
      <w:r>
        <w:rPr>
          <w:rtl/>
        </w:rPr>
        <w:t>והכא</w:t>
      </w:r>
      <w:proofErr w:type="spellEnd"/>
      <w:r>
        <w:rPr>
          <w:rtl/>
        </w:rPr>
        <w:t xml:space="preserve"> איכא </w:t>
      </w:r>
      <w:proofErr w:type="spellStart"/>
      <w:r>
        <w:rPr>
          <w:rtl/>
        </w:rPr>
        <w:t>למימר</w:t>
      </w:r>
      <w:proofErr w:type="spellEnd"/>
      <w:r>
        <w:rPr>
          <w:rtl/>
        </w:rPr>
        <w:t xml:space="preserve"> ברירה, </w:t>
      </w:r>
      <w:proofErr w:type="spellStart"/>
      <w:r>
        <w:rPr>
          <w:rtl/>
        </w:rPr>
        <w:t>דקסלקא</w:t>
      </w:r>
      <w:proofErr w:type="spellEnd"/>
      <w:r>
        <w:rPr>
          <w:rtl/>
        </w:rPr>
        <w:t xml:space="preserve"> דעתך השתא: רבי אמר: על מנת שירצה אבא, היינו שירצה </w:t>
      </w:r>
      <w:proofErr w:type="spellStart"/>
      <w:r>
        <w:rPr>
          <w:rtl/>
        </w:rPr>
        <w:t>מהשתא</w:t>
      </w:r>
      <w:proofErr w:type="spellEnd"/>
      <w:r>
        <w:rPr>
          <w:rtl/>
        </w:rPr>
        <w:t xml:space="preserve">, </w:t>
      </w:r>
      <w:proofErr w:type="spellStart"/>
      <w:r>
        <w:rPr>
          <w:rtl/>
        </w:rPr>
        <w:t>דכי</w:t>
      </w:r>
      <w:proofErr w:type="spellEnd"/>
      <w:r>
        <w:rPr>
          <w:rtl/>
        </w:rPr>
        <w:t xml:space="preserve"> </w:t>
      </w:r>
      <w:proofErr w:type="spellStart"/>
      <w:r>
        <w:rPr>
          <w:rtl/>
        </w:rPr>
        <w:t>שיילינן</w:t>
      </w:r>
      <w:proofErr w:type="spellEnd"/>
      <w:r>
        <w:rPr>
          <w:rtl/>
        </w:rPr>
        <w:t xml:space="preserve"> ליה לאב ואמר </w:t>
      </w:r>
      <w:proofErr w:type="spellStart"/>
      <w:r>
        <w:rPr>
          <w:rtl/>
        </w:rPr>
        <w:t>דניחא</w:t>
      </w:r>
      <w:proofErr w:type="spellEnd"/>
      <w:r>
        <w:rPr>
          <w:rtl/>
        </w:rPr>
        <w:t xml:space="preserve"> ליה, </w:t>
      </w:r>
      <w:proofErr w:type="spellStart"/>
      <w:r>
        <w:rPr>
          <w:rtl/>
        </w:rPr>
        <w:t>אמרינן</w:t>
      </w:r>
      <w:proofErr w:type="spellEnd"/>
      <w:r>
        <w:rPr>
          <w:rtl/>
        </w:rPr>
        <w:t>: הוברר הדבר למפרע משעת בעילה, ומשום דיש ברירה".</w:t>
      </w:r>
    </w:p>
    <w:p w:rsidR="00BF3F3C" w:rsidRDefault="00BF3F3C" w:rsidP="00F078D5">
      <w:pPr>
        <w:rPr>
          <w:rtl/>
        </w:rPr>
      </w:pPr>
      <w:r>
        <w:rPr>
          <w:rtl/>
        </w:rPr>
        <w:t xml:space="preserve">לפי פירושו ברור מדוע שייך כאן דין ברירה: האיש התנה "על מנת שאבא </w:t>
      </w:r>
      <w:r w:rsidR="00F078D5">
        <w:rPr>
          <w:b/>
          <w:bCs/>
          <w:rtl/>
        </w:rPr>
        <w:t>רוצה</w:t>
      </w:r>
      <w:r>
        <w:rPr>
          <w:rtl/>
        </w:rPr>
        <w:t>" בהווה, ואף על פי שהאב עדיין לא שמע על השידוך. רק אם יש ברירה אפשר להגדיר הסכמה בעתיד כמשקפת רצון בהווה. אם אין ברירה, אי אפשר להגדיר את ההווה כשעת רצון האב כל עוד לא שמע האב אודות השידוך והעתיד פתוח לכל האופציות.</w:t>
      </w:r>
    </w:p>
    <w:p w:rsidR="00C30E48" w:rsidRDefault="00BF3F3C" w:rsidP="00C30E48">
      <w:pPr>
        <w:rPr>
          <w:rtl/>
        </w:rPr>
      </w:pPr>
      <w:r>
        <w:rPr>
          <w:rtl/>
        </w:rPr>
        <w:t xml:space="preserve">ועיין בחידושי הרמב"ן, </w:t>
      </w:r>
      <w:r w:rsidR="00C30E48">
        <w:rPr>
          <w:rtl/>
        </w:rPr>
        <w:t>שכתב:</w:t>
      </w:r>
    </w:p>
    <w:p w:rsidR="00C30E48" w:rsidRDefault="00BF3F3C" w:rsidP="00C30E48">
      <w:pPr>
        <w:pStyle w:val="a0"/>
        <w:rPr>
          <w:rtl/>
        </w:rPr>
      </w:pPr>
      <w:r>
        <w:rPr>
          <w:rtl/>
        </w:rPr>
        <w:t xml:space="preserve">"ועדיין אני אומר </w:t>
      </w:r>
      <w:proofErr w:type="spellStart"/>
      <w:r>
        <w:rPr>
          <w:rtl/>
        </w:rPr>
        <w:t>דשאני</w:t>
      </w:r>
      <w:proofErr w:type="spellEnd"/>
      <w:r>
        <w:rPr>
          <w:rtl/>
        </w:rPr>
        <w:t xml:space="preserve"> 'על מנת שירצה', שכיון שהדבר מסור ללב, אין אומרים כשרצה האב עכשיו הוברר הדבר שרצה משעה ראשונה אלא לדברי האומר יש ברירה".</w:t>
      </w:r>
    </w:p>
    <w:p w:rsidR="00BF3F3C" w:rsidRDefault="00BF3F3C" w:rsidP="00C30E48">
      <w:pPr>
        <w:rPr>
          <w:rtl/>
        </w:rPr>
      </w:pPr>
      <w:r>
        <w:rPr>
          <w:rtl/>
        </w:rPr>
        <w:t xml:space="preserve">לכאורה אפשר להסביר כי גם הרמב"ן מפרש שהתנה "על מנת שירצה אבא </w:t>
      </w:r>
      <w:proofErr w:type="spellStart"/>
      <w:r>
        <w:rPr>
          <w:rtl/>
        </w:rPr>
        <w:t>מהשתא</w:t>
      </w:r>
      <w:proofErr w:type="spellEnd"/>
      <w:r>
        <w:rPr>
          <w:rtl/>
        </w:rPr>
        <w:t>", וכי אף על פי שאביו לא שמע אלא לאחר זמן, הואיל ורצון הוא דבר המסור ללב הוברר הדבר שרצה משעה ראשונה - אם יש ברירה.</w:t>
      </w:r>
    </w:p>
    <w:p w:rsidR="00C30E48" w:rsidRDefault="00BF3F3C" w:rsidP="00C30E48">
      <w:pPr>
        <w:rPr>
          <w:rtl/>
        </w:rPr>
      </w:pPr>
      <w:r>
        <w:rPr>
          <w:rtl/>
        </w:rPr>
        <w:t>אולם</w:t>
      </w:r>
      <w:r w:rsidR="00C30E48">
        <w:rPr>
          <w:rtl/>
        </w:rPr>
        <w:t>, לא כך משמע מ</w:t>
      </w:r>
      <w:r>
        <w:rPr>
          <w:rtl/>
        </w:rPr>
        <w:t>פשטות לשון הברייתא</w:t>
      </w:r>
      <w:r w:rsidR="00C30E48">
        <w:rPr>
          <w:rtl/>
        </w:rPr>
        <w:t>, שהרי</w:t>
      </w:r>
      <w:r>
        <w:rPr>
          <w:rtl/>
        </w:rPr>
        <w:t xml:space="preserve"> </w:t>
      </w:r>
      <w:r w:rsidR="00C30E48">
        <w:rPr>
          <w:rtl/>
        </w:rPr>
        <w:t xml:space="preserve">כתוב </w:t>
      </w:r>
      <w:r>
        <w:rPr>
          <w:rtl/>
        </w:rPr>
        <w:t xml:space="preserve">"על מנת </w:t>
      </w:r>
      <w:r>
        <w:rPr>
          <w:b/>
          <w:bCs/>
          <w:rtl/>
        </w:rPr>
        <w:t>שירצה</w:t>
      </w:r>
      <w:r>
        <w:rPr>
          <w:rtl/>
        </w:rPr>
        <w:t xml:space="preserve"> אבא", ולשון ז</w:t>
      </w:r>
      <w:r w:rsidR="00C30E48">
        <w:rPr>
          <w:rtl/>
        </w:rPr>
        <w:t>ו</w:t>
      </w:r>
      <w:r>
        <w:rPr>
          <w:rtl/>
        </w:rPr>
        <w:t xml:space="preserve"> מורה על תנאי ברצון האב בעתיד, ולא בהווה. לכן קשה לקבל את התירוץ הזה. ונראה לפרש את הרמב"ן בדר</w:t>
      </w:r>
      <w:r w:rsidR="00C30E48">
        <w:rPr>
          <w:rtl/>
        </w:rPr>
        <w:t>ך אחרת, וזאת על פי מה שכתב המשך דבריו:</w:t>
      </w:r>
    </w:p>
    <w:p w:rsidR="00C30E48" w:rsidRDefault="00BF3F3C" w:rsidP="00C30E48">
      <w:pPr>
        <w:pStyle w:val="a0"/>
        <w:rPr>
          <w:rtl/>
        </w:rPr>
      </w:pPr>
      <w:r>
        <w:rPr>
          <w:rtl/>
        </w:rPr>
        <w:t xml:space="preserve">"אבל התולה ברצון אחרים או בשל עצמו, אע"פ שלא התנה בשני דברים, אין אומרים כשרצה הוברר הדבר וחל משעה ראשונה אלא לדברי האומר יש ברירה, והיינו </w:t>
      </w:r>
      <w:proofErr w:type="spellStart"/>
      <w:r>
        <w:rPr>
          <w:rtl/>
        </w:rPr>
        <w:t>דמייתי</w:t>
      </w:r>
      <w:proofErr w:type="spellEnd"/>
      <w:r>
        <w:rPr>
          <w:rtl/>
        </w:rPr>
        <w:t xml:space="preserve"> </w:t>
      </w:r>
      <w:proofErr w:type="spellStart"/>
      <w:r>
        <w:rPr>
          <w:rtl/>
        </w:rPr>
        <w:t>בשמעתי</w:t>
      </w:r>
      <w:r w:rsidR="00C30E48">
        <w:rPr>
          <w:rtl/>
        </w:rPr>
        <w:t>ן</w:t>
      </w:r>
      <w:proofErr w:type="spellEnd"/>
      <w:r w:rsidR="00C30E48">
        <w:rPr>
          <w:rtl/>
        </w:rPr>
        <w:t xml:space="preserve"> 'על מנת שירצה אבא' </w:t>
      </w:r>
      <w:proofErr w:type="spellStart"/>
      <w:r w:rsidR="00C30E48">
        <w:rPr>
          <w:rtl/>
        </w:rPr>
        <w:t>כדפרישית</w:t>
      </w:r>
      <w:proofErr w:type="spellEnd"/>
      <w:r w:rsidR="00C30E48">
        <w:rPr>
          <w:rtl/>
        </w:rPr>
        <w:t>".</w:t>
      </w:r>
    </w:p>
    <w:p w:rsidR="00BF3F3C" w:rsidRDefault="00BF3F3C" w:rsidP="00C30E48">
      <w:pPr>
        <w:rPr>
          <w:rtl/>
        </w:rPr>
      </w:pPr>
      <w:r>
        <w:rPr>
          <w:rtl/>
        </w:rPr>
        <w:t xml:space="preserve">הרמב"ן משווה תלייה ברצון אחרים לתלייה ברצון עצמו. בנוגע לתלייה ברצון עצמו מסתבר שלא </w:t>
      </w:r>
      <w:r w:rsidR="00C30E48">
        <w:rPr>
          <w:rtl/>
        </w:rPr>
        <w:t xml:space="preserve">מדובר </w:t>
      </w:r>
      <w:r>
        <w:rPr>
          <w:rtl/>
        </w:rPr>
        <w:t xml:space="preserve">בתנאי רגיל, </w:t>
      </w:r>
      <w:r w:rsidR="00C30E48">
        <w:rPr>
          <w:rtl/>
        </w:rPr>
        <w:t>אלא</w:t>
      </w:r>
      <w:r>
        <w:rPr>
          <w:rtl/>
        </w:rPr>
        <w:t xml:space="preserve"> בחיסרון בדעת וברצון הדרושים לעצם החלות. אם כן אין כאן תנאי, משום שאינו תולה את החלות בדבר צדדי; מדובר כאן בחיסרון מהותי, המעכב את החלות, כי כל עוד אין לו רצון לקדש חסר מרכיב יסודי בקידושין עצמם. לכן המקדש אישה על מנת שהוא בעצמו ירצה, האישה תהיה מקודשת אם בסופו של דבר ירצה רק למאן דאית ליה ברירה, והיינו משום שרק על פי דין ברירה אפשר לקבוע כי הוברר שרצה לקדשה גם למפרע, ודעתו </w:t>
      </w:r>
      <w:r w:rsidR="00C30E48">
        <w:rPr>
          <w:rtl/>
        </w:rPr>
        <w:t>מבו</w:t>
      </w:r>
      <w:r>
        <w:rPr>
          <w:rtl/>
        </w:rPr>
        <w:t>ררת משעה ראשונה.</w:t>
      </w:r>
    </w:p>
    <w:p w:rsidR="00BF3F3C" w:rsidRDefault="00BF3F3C" w:rsidP="00D1114C">
      <w:pPr>
        <w:rPr>
          <w:rtl/>
        </w:rPr>
      </w:pPr>
      <w:r>
        <w:rPr>
          <w:rtl/>
        </w:rPr>
        <w:t xml:space="preserve">לפי זה אפשר לומר שהוא הדין בתולה בדעת אחרים. </w:t>
      </w:r>
      <w:r w:rsidR="00C30E48">
        <w:rPr>
          <w:rtl/>
        </w:rPr>
        <w:t>ולכן</w:t>
      </w:r>
      <w:r>
        <w:rPr>
          <w:rtl/>
        </w:rPr>
        <w:t xml:space="preserve">, המקדש את האישה על מנת שירצה אבא אינו תנאי רגיל, והיינו משום שתלה דעתו בדעת אביו, ואם אביו אינו רוצה שהוא יקדש אישה זו, גם הוא אינו רוצה. ואם כן, גם במקרה הזה חסר הרצון הדרוש מצד המקדש לעצם מעשה הקידושין. לכן </w:t>
      </w:r>
      <w:r w:rsidR="00D1114C">
        <w:rPr>
          <w:rtl/>
        </w:rPr>
        <w:t>יש צורך ב</w:t>
      </w:r>
      <w:r>
        <w:rPr>
          <w:rtl/>
        </w:rPr>
        <w:t xml:space="preserve">דין ברירה, כדי לקבוע כי האב רצה </w:t>
      </w:r>
      <w:r w:rsidR="00D1114C">
        <w:rPr>
          <w:rtl/>
        </w:rPr>
        <w:lastRenderedPageBreak/>
        <w:t>כבר מה</w:t>
      </w:r>
      <w:r>
        <w:rPr>
          <w:rtl/>
        </w:rPr>
        <w:t xml:space="preserve">שעה </w:t>
      </w:r>
      <w:r w:rsidR="00D1114C">
        <w:rPr>
          <w:rtl/>
        </w:rPr>
        <w:t>ה</w:t>
      </w:r>
      <w:r>
        <w:rPr>
          <w:rtl/>
        </w:rPr>
        <w:t>ראשונה על פי רצונו העתידי, וממילא הוא הדין בנוגע לרצון המקדש, התלוי ברצון אביו.</w:t>
      </w:r>
    </w:p>
    <w:p w:rsidR="00D1114C" w:rsidRDefault="00D1114C" w:rsidP="00D1114C">
      <w:pPr>
        <w:pStyle w:val="2"/>
        <w:rPr>
          <w:rtl/>
        </w:rPr>
      </w:pPr>
      <w:r>
        <w:rPr>
          <w:rtl/>
        </w:rPr>
        <w:t>סיכום</w:t>
      </w:r>
    </w:p>
    <w:p w:rsidR="00BF3F3C" w:rsidRDefault="00BF3F3C" w:rsidP="00D1114C">
      <w:pPr>
        <w:rPr>
          <w:rFonts w:hint="cs"/>
          <w:rtl/>
        </w:rPr>
      </w:pPr>
      <w:r>
        <w:rPr>
          <w:rtl/>
        </w:rPr>
        <w:t xml:space="preserve">ראינו שהראשונים תמימי דעים ביחס להנחה כי תנאי רגיל אינו זקוק לדין ברירה. לכן הם התחבטו בסוגייתנו, הסותרת לכאורה הנחה זו. לפי רש"י חידוש דין תנאי אינו אלא בתנאי שבידו, ולכן רק תנאי שאינו בידו זקוק לדין ברירה. בדרך זו תירץ רש"י את שתי הקושיות בסוגייתנו. לעומתו, הסכימו רוב הראשונים ש"הרי זה </w:t>
      </w:r>
      <w:proofErr w:type="spellStart"/>
      <w:r>
        <w:rPr>
          <w:rtl/>
        </w:rPr>
        <w:t>גיטיך</w:t>
      </w:r>
      <w:proofErr w:type="spellEnd"/>
      <w:r>
        <w:rPr>
          <w:rtl/>
        </w:rPr>
        <w:t xml:space="preserve"> שעה אחת קודם </w:t>
      </w:r>
      <w:proofErr w:type="spellStart"/>
      <w:r>
        <w:rPr>
          <w:rtl/>
        </w:rPr>
        <w:t>מיתתי</w:t>
      </w:r>
      <w:proofErr w:type="spellEnd"/>
      <w:r>
        <w:rPr>
          <w:rtl/>
        </w:rPr>
        <w:t>" זקוק ל</w:t>
      </w:r>
      <w:r w:rsidR="00D1114C">
        <w:rPr>
          <w:rtl/>
        </w:rPr>
        <w:t xml:space="preserve">דין </w:t>
      </w:r>
      <w:r>
        <w:rPr>
          <w:rtl/>
        </w:rPr>
        <w:t xml:space="preserve">ברירה משום שאין זמן חלות הגט מתברר אלא למפרע. בנוגע ל"הריני </w:t>
      </w:r>
      <w:proofErr w:type="spellStart"/>
      <w:r>
        <w:rPr>
          <w:rtl/>
        </w:rPr>
        <w:t>בועליך</w:t>
      </w:r>
      <w:proofErr w:type="spellEnd"/>
      <w:r>
        <w:rPr>
          <w:rtl/>
        </w:rPr>
        <w:t xml:space="preserve"> על מנת שירצה אבא", יש המתרצים כי הכוונה היא "על מנת שירצה אבא עכשיו", וזה </w:t>
      </w:r>
      <w:r w:rsidR="00D1114C">
        <w:rPr>
          <w:rtl/>
        </w:rPr>
        <w:t>בלתי אפשרי</w:t>
      </w:r>
      <w:r>
        <w:rPr>
          <w:rtl/>
        </w:rPr>
        <w:t xml:space="preserve"> אלא אם יש ברירה, שהרי האב עדיין לא הביע את דעתו במפורש. בנוסף, העלינו אפשרות שתלייה ברצון אחרים אינה תנאי רגיל בדבר חיצוני. רצון אחרים, כמו גם רצון עצמו, הם מרכיבים בסיסיים הדרושים לחלות המעשה. לכן אם תלה ברצון עצמו זקוקים אנו לדין ברירה, והוא הדין אם תלה רצונו ברצון אביו. המעשה יחול רק על ידי בירור רצון אביו למפרע, הואיל וביטל רצונו לרצון אביו.</w:t>
      </w:r>
    </w:p>
    <w:p w:rsidR="00BC7313" w:rsidRDefault="00BC7313" w:rsidP="00BC7313">
      <w:pPr>
        <w:widowControl w:val="0"/>
        <w:spacing w:after="0" w:line="240" w:lineRule="auto"/>
        <w:rPr>
          <w:rFonts w:hint="cs"/>
          <w:sz w:val="22"/>
          <w:rtl/>
        </w:rPr>
      </w:pPr>
    </w:p>
    <w:p w:rsidR="00BC7313" w:rsidRPr="00BC7313" w:rsidRDefault="00BC7313" w:rsidP="00BC7313">
      <w:pPr>
        <w:pStyle w:val="a1"/>
        <w:keepNext w:val="0"/>
        <w:widowControl w:val="0"/>
        <w:spacing w:before="0" w:after="0"/>
        <w:jc w:val="both"/>
        <w:rPr>
          <w:sz w:val="22"/>
          <w:szCs w:val="22"/>
          <w:rtl/>
        </w:rPr>
      </w:pPr>
      <w:r>
        <w:rPr>
          <w:rFonts w:hint="cs"/>
          <w:sz w:val="22"/>
          <w:szCs w:val="22"/>
          <w:rtl/>
        </w:rPr>
        <w:t xml:space="preserve">לשיעור הבא: </w:t>
      </w:r>
      <w:r w:rsidRPr="00BC7313">
        <w:rPr>
          <w:sz w:val="22"/>
          <w:szCs w:val="22"/>
          <w:rtl/>
        </w:rPr>
        <w:t xml:space="preserve">טופסי </w:t>
      </w:r>
      <w:proofErr w:type="spellStart"/>
      <w:r w:rsidRPr="00BC7313">
        <w:rPr>
          <w:sz w:val="22"/>
          <w:szCs w:val="22"/>
          <w:rtl/>
        </w:rPr>
        <w:t>גטין</w:t>
      </w:r>
      <w:proofErr w:type="spellEnd"/>
    </w:p>
    <w:p w:rsidR="00BC7313" w:rsidRPr="00BC7313" w:rsidRDefault="00BC7313" w:rsidP="00BC7313">
      <w:pPr>
        <w:pStyle w:val="2"/>
        <w:keepNext w:val="0"/>
        <w:widowControl w:val="0"/>
        <w:spacing w:before="0" w:after="0"/>
        <w:jc w:val="both"/>
        <w:rPr>
          <w:sz w:val="22"/>
          <w:szCs w:val="22"/>
          <w:rtl/>
        </w:rPr>
      </w:pPr>
      <w:r w:rsidRPr="00BC7313">
        <w:rPr>
          <w:sz w:val="22"/>
          <w:szCs w:val="22"/>
          <w:rtl/>
        </w:rPr>
        <w:t>מקורות</w:t>
      </w:r>
    </w:p>
    <w:p w:rsidR="00BC7313" w:rsidRPr="00BC7313" w:rsidRDefault="00BC7313" w:rsidP="00BC7313">
      <w:pPr>
        <w:widowControl w:val="0"/>
        <w:spacing w:after="0" w:line="240" w:lineRule="exact"/>
        <w:ind w:left="210" w:hanging="210"/>
        <w:rPr>
          <w:sz w:val="22"/>
          <w:rtl/>
        </w:rPr>
      </w:pPr>
      <w:r w:rsidRPr="00BC7313">
        <w:rPr>
          <w:sz w:val="22"/>
          <w:rtl/>
        </w:rPr>
        <w:t xml:space="preserve">1. משנה דף </w:t>
      </w:r>
      <w:proofErr w:type="spellStart"/>
      <w:r w:rsidRPr="00BC7313">
        <w:rPr>
          <w:sz w:val="22"/>
          <w:rtl/>
        </w:rPr>
        <w:t>כו</w:t>
      </w:r>
      <w:proofErr w:type="spellEnd"/>
      <w:r w:rsidRPr="00BC7313">
        <w:rPr>
          <w:sz w:val="22"/>
          <w:rtl/>
        </w:rPr>
        <w:t>., גמרא עד "</w:t>
      </w:r>
      <w:proofErr w:type="spellStart"/>
      <w:r w:rsidRPr="00BC7313">
        <w:rPr>
          <w:sz w:val="22"/>
          <w:rtl/>
        </w:rPr>
        <w:t>ומותיב</w:t>
      </w:r>
      <w:proofErr w:type="spellEnd"/>
      <w:r w:rsidRPr="00BC7313">
        <w:rPr>
          <w:sz w:val="22"/>
          <w:rtl/>
        </w:rPr>
        <w:t xml:space="preserve"> לה", דף </w:t>
      </w:r>
      <w:proofErr w:type="spellStart"/>
      <w:r w:rsidRPr="00BC7313">
        <w:rPr>
          <w:sz w:val="22"/>
          <w:rtl/>
        </w:rPr>
        <w:t>כו</w:t>
      </w:r>
      <w:proofErr w:type="spellEnd"/>
      <w:r w:rsidRPr="00BC7313">
        <w:rPr>
          <w:sz w:val="22"/>
          <w:rtl/>
        </w:rPr>
        <w:t>: "</w:t>
      </w:r>
      <w:proofErr w:type="spellStart"/>
      <w:r w:rsidRPr="00BC7313">
        <w:rPr>
          <w:sz w:val="22"/>
          <w:rtl/>
        </w:rPr>
        <w:t>א"ר</w:t>
      </w:r>
      <w:proofErr w:type="spellEnd"/>
      <w:r w:rsidRPr="00BC7313">
        <w:rPr>
          <w:sz w:val="22"/>
          <w:rtl/>
        </w:rPr>
        <w:t xml:space="preserve"> </w:t>
      </w:r>
      <w:proofErr w:type="spellStart"/>
      <w:r w:rsidRPr="00BC7313">
        <w:rPr>
          <w:sz w:val="22"/>
          <w:rtl/>
        </w:rPr>
        <w:t>זירא</w:t>
      </w:r>
      <w:proofErr w:type="spellEnd"/>
      <w:r w:rsidRPr="00BC7313">
        <w:rPr>
          <w:sz w:val="22"/>
          <w:rtl/>
        </w:rPr>
        <w:t xml:space="preserve">... </w:t>
      </w:r>
      <w:proofErr w:type="spellStart"/>
      <w:r w:rsidRPr="00BC7313">
        <w:rPr>
          <w:sz w:val="22"/>
          <w:rtl/>
        </w:rPr>
        <w:t>טובינא</w:t>
      </w:r>
      <w:proofErr w:type="spellEnd"/>
      <w:r w:rsidRPr="00BC7313">
        <w:rPr>
          <w:sz w:val="22"/>
          <w:rtl/>
        </w:rPr>
        <w:t xml:space="preserve"> </w:t>
      </w:r>
      <w:proofErr w:type="spellStart"/>
      <w:r w:rsidRPr="00BC7313">
        <w:rPr>
          <w:sz w:val="22"/>
          <w:rtl/>
        </w:rPr>
        <w:t>דחכימי</w:t>
      </w:r>
      <w:proofErr w:type="spellEnd"/>
      <w:r w:rsidRPr="00BC7313">
        <w:rPr>
          <w:sz w:val="22"/>
          <w:rtl/>
        </w:rPr>
        <w:t>".</w:t>
      </w:r>
    </w:p>
    <w:p w:rsidR="00BC7313" w:rsidRPr="00BC7313" w:rsidRDefault="00BC7313" w:rsidP="00BC7313">
      <w:pPr>
        <w:widowControl w:val="0"/>
        <w:spacing w:after="0" w:line="240" w:lineRule="exact"/>
        <w:ind w:left="210" w:hanging="210"/>
        <w:rPr>
          <w:sz w:val="22"/>
          <w:rtl/>
        </w:rPr>
      </w:pPr>
      <w:r w:rsidRPr="00BC7313">
        <w:rPr>
          <w:sz w:val="22"/>
          <w:rtl/>
        </w:rPr>
        <w:t xml:space="preserve">2. דף </w:t>
      </w:r>
      <w:proofErr w:type="spellStart"/>
      <w:r w:rsidRPr="00BC7313">
        <w:rPr>
          <w:sz w:val="22"/>
          <w:rtl/>
        </w:rPr>
        <w:t>כא</w:t>
      </w:r>
      <w:proofErr w:type="spellEnd"/>
      <w:r w:rsidRPr="00BC7313">
        <w:rPr>
          <w:sz w:val="22"/>
          <w:rtl/>
        </w:rPr>
        <w:t xml:space="preserve">: "כתבו על מחובר... ונתנו לה כשר", דף </w:t>
      </w:r>
      <w:proofErr w:type="spellStart"/>
      <w:r w:rsidRPr="00BC7313">
        <w:rPr>
          <w:sz w:val="22"/>
          <w:rtl/>
        </w:rPr>
        <w:t>כג</w:t>
      </w:r>
      <w:proofErr w:type="spellEnd"/>
      <w:r w:rsidRPr="00BC7313">
        <w:rPr>
          <w:sz w:val="22"/>
          <w:rtl/>
        </w:rPr>
        <w:t>. "</w:t>
      </w:r>
      <w:proofErr w:type="spellStart"/>
      <w:r w:rsidRPr="00BC7313">
        <w:rPr>
          <w:sz w:val="22"/>
          <w:rtl/>
        </w:rPr>
        <w:t>ואיבעית</w:t>
      </w:r>
      <w:proofErr w:type="spellEnd"/>
      <w:r w:rsidRPr="00BC7313">
        <w:rPr>
          <w:sz w:val="22"/>
          <w:rtl/>
        </w:rPr>
        <w:t xml:space="preserve"> אימא... </w:t>
      </w:r>
      <w:proofErr w:type="spellStart"/>
      <w:r w:rsidRPr="00BC7313">
        <w:rPr>
          <w:sz w:val="22"/>
          <w:rtl/>
        </w:rPr>
        <w:t>ור"א</w:t>
      </w:r>
      <w:proofErr w:type="spellEnd"/>
      <w:r w:rsidRPr="00BC7313">
        <w:rPr>
          <w:sz w:val="22"/>
          <w:rtl/>
        </w:rPr>
        <w:t xml:space="preserve"> היא".</w:t>
      </w:r>
    </w:p>
    <w:p w:rsidR="00BC7313" w:rsidRPr="00BC7313" w:rsidRDefault="00BC7313" w:rsidP="00BC7313">
      <w:pPr>
        <w:widowControl w:val="0"/>
        <w:spacing w:after="0" w:line="240" w:lineRule="exact"/>
        <w:ind w:left="210" w:hanging="210"/>
        <w:rPr>
          <w:sz w:val="22"/>
          <w:rtl/>
        </w:rPr>
      </w:pPr>
      <w:r w:rsidRPr="00BC7313">
        <w:rPr>
          <w:sz w:val="22"/>
          <w:rtl/>
        </w:rPr>
        <w:t xml:space="preserve">3. ספר הזכות [דף י: בדפי </w:t>
      </w:r>
      <w:proofErr w:type="spellStart"/>
      <w:r w:rsidRPr="00BC7313">
        <w:rPr>
          <w:sz w:val="22"/>
          <w:rtl/>
        </w:rPr>
        <w:t>הרי"ף</w:t>
      </w:r>
      <w:proofErr w:type="spellEnd"/>
      <w:r w:rsidRPr="00BC7313">
        <w:rPr>
          <w:sz w:val="22"/>
          <w:rtl/>
        </w:rPr>
        <w:t xml:space="preserve">], </w:t>
      </w:r>
      <w:proofErr w:type="spellStart"/>
      <w:r w:rsidRPr="00BC7313">
        <w:rPr>
          <w:sz w:val="22"/>
          <w:rtl/>
        </w:rPr>
        <w:t>ר"ן</w:t>
      </w:r>
      <w:proofErr w:type="spellEnd"/>
      <w:r w:rsidRPr="00BC7313">
        <w:rPr>
          <w:sz w:val="22"/>
          <w:rtl/>
        </w:rPr>
        <w:t xml:space="preserve"> שם ד"ה גמ' וד"ה אמר, </w:t>
      </w:r>
      <w:proofErr w:type="spellStart"/>
      <w:r w:rsidRPr="00BC7313">
        <w:rPr>
          <w:sz w:val="22"/>
          <w:rtl/>
        </w:rPr>
        <w:t>ולענין</w:t>
      </w:r>
      <w:proofErr w:type="spellEnd"/>
      <w:r w:rsidRPr="00BC7313">
        <w:rPr>
          <w:sz w:val="22"/>
          <w:rtl/>
        </w:rPr>
        <w:t xml:space="preserve"> [דף יא: בדפי </w:t>
      </w:r>
      <w:proofErr w:type="spellStart"/>
      <w:r w:rsidRPr="00BC7313">
        <w:rPr>
          <w:sz w:val="22"/>
          <w:rtl/>
        </w:rPr>
        <w:t>הרי"ף</w:t>
      </w:r>
      <w:proofErr w:type="spellEnd"/>
      <w:r w:rsidRPr="00BC7313">
        <w:rPr>
          <w:sz w:val="22"/>
          <w:rtl/>
        </w:rPr>
        <w:t xml:space="preserve">] וד"ה הלכך [דף </w:t>
      </w:r>
      <w:proofErr w:type="spellStart"/>
      <w:r w:rsidRPr="00BC7313">
        <w:rPr>
          <w:sz w:val="22"/>
          <w:rtl/>
        </w:rPr>
        <w:t>יג</w:t>
      </w:r>
      <w:proofErr w:type="spellEnd"/>
      <w:r w:rsidRPr="00BC7313">
        <w:rPr>
          <w:sz w:val="22"/>
          <w:rtl/>
        </w:rPr>
        <w:t xml:space="preserve">. בדפי </w:t>
      </w:r>
      <w:proofErr w:type="spellStart"/>
      <w:r w:rsidRPr="00BC7313">
        <w:rPr>
          <w:sz w:val="22"/>
          <w:rtl/>
        </w:rPr>
        <w:t>הרי"ף</w:t>
      </w:r>
      <w:proofErr w:type="spellEnd"/>
      <w:r w:rsidRPr="00BC7313">
        <w:rPr>
          <w:sz w:val="22"/>
          <w:rtl/>
        </w:rPr>
        <w:t>].</w:t>
      </w:r>
    </w:p>
    <w:p w:rsidR="00BC7313" w:rsidRPr="00BC7313" w:rsidRDefault="00BC7313" w:rsidP="00BC7313">
      <w:pPr>
        <w:widowControl w:val="0"/>
        <w:spacing w:after="0" w:line="240" w:lineRule="exact"/>
        <w:ind w:left="210" w:hanging="210"/>
        <w:rPr>
          <w:sz w:val="22"/>
          <w:rtl/>
        </w:rPr>
      </w:pPr>
      <w:r w:rsidRPr="00BC7313">
        <w:rPr>
          <w:sz w:val="22"/>
          <w:rtl/>
        </w:rPr>
        <w:t xml:space="preserve">4. רמב"ם גירושין פ"ג הלכות ז, </w:t>
      </w:r>
      <w:proofErr w:type="spellStart"/>
      <w:r w:rsidRPr="00BC7313">
        <w:rPr>
          <w:sz w:val="22"/>
          <w:rtl/>
        </w:rPr>
        <w:t>יז-יח</w:t>
      </w:r>
      <w:proofErr w:type="spellEnd"/>
      <w:r w:rsidRPr="00BC7313">
        <w:rPr>
          <w:sz w:val="22"/>
          <w:rtl/>
        </w:rPr>
        <w:t xml:space="preserve">, ופ"א </w:t>
      </w:r>
      <w:proofErr w:type="spellStart"/>
      <w:r w:rsidRPr="00BC7313">
        <w:rPr>
          <w:sz w:val="22"/>
          <w:rtl/>
        </w:rPr>
        <w:t>ה"ז</w:t>
      </w:r>
      <w:proofErr w:type="spellEnd"/>
      <w:r w:rsidRPr="00BC7313">
        <w:rPr>
          <w:sz w:val="22"/>
          <w:rtl/>
        </w:rPr>
        <w:t>.</w:t>
      </w:r>
    </w:p>
    <w:p w:rsidR="00BC7313" w:rsidRDefault="00BC7313" w:rsidP="00BC7313">
      <w:pPr>
        <w:widowControl w:val="0"/>
        <w:spacing w:after="0" w:line="240" w:lineRule="exact"/>
        <w:ind w:left="210" w:hanging="210"/>
        <w:rPr>
          <w:rFonts w:hint="cs"/>
          <w:sz w:val="22"/>
          <w:rtl/>
        </w:rPr>
      </w:pPr>
      <w:r w:rsidRPr="00BC7313">
        <w:rPr>
          <w:sz w:val="22"/>
          <w:rtl/>
        </w:rPr>
        <w:t>5. ירושלמי פ"ג ה"א "</w:t>
      </w:r>
      <w:proofErr w:type="spellStart"/>
      <w:r w:rsidRPr="00BC7313">
        <w:rPr>
          <w:sz w:val="22"/>
          <w:rtl/>
        </w:rPr>
        <w:t>מילתיה</w:t>
      </w:r>
      <w:proofErr w:type="spellEnd"/>
      <w:r w:rsidRPr="00BC7313">
        <w:rPr>
          <w:sz w:val="22"/>
          <w:rtl/>
        </w:rPr>
        <w:t xml:space="preserve"> </w:t>
      </w:r>
      <w:proofErr w:type="spellStart"/>
      <w:r w:rsidRPr="00BC7313">
        <w:rPr>
          <w:sz w:val="22"/>
          <w:rtl/>
        </w:rPr>
        <w:t>דריש</w:t>
      </w:r>
      <w:proofErr w:type="spellEnd"/>
      <w:r w:rsidRPr="00BC7313">
        <w:rPr>
          <w:sz w:val="22"/>
          <w:rtl/>
        </w:rPr>
        <w:t xml:space="preserve"> לקיש ... תרפו בטופס כשר".</w:t>
      </w:r>
    </w:p>
    <w:p w:rsidR="00BC7313" w:rsidRPr="00BC7313" w:rsidRDefault="00BC7313" w:rsidP="00BC7313">
      <w:pPr>
        <w:widowControl w:val="0"/>
        <w:spacing w:after="0" w:line="240" w:lineRule="exact"/>
        <w:ind w:left="210" w:hanging="210"/>
        <w:rPr>
          <w:sz w:val="22"/>
          <w:rtl/>
        </w:rPr>
      </w:pPr>
    </w:p>
    <w:p w:rsidR="00BC7313" w:rsidRPr="00BC7313" w:rsidRDefault="00BC7313" w:rsidP="00BC7313">
      <w:pPr>
        <w:pStyle w:val="2"/>
        <w:keepNext w:val="0"/>
        <w:widowControl w:val="0"/>
        <w:spacing w:before="0" w:after="0" w:line="240" w:lineRule="exact"/>
        <w:jc w:val="both"/>
        <w:rPr>
          <w:sz w:val="22"/>
          <w:szCs w:val="22"/>
          <w:rtl/>
        </w:rPr>
      </w:pPr>
      <w:r w:rsidRPr="00BC7313">
        <w:rPr>
          <w:sz w:val="22"/>
          <w:szCs w:val="22"/>
          <w:rtl/>
        </w:rPr>
        <w:t>שאלות הכנה</w:t>
      </w:r>
    </w:p>
    <w:p w:rsidR="00BC7313" w:rsidRPr="00BC7313" w:rsidRDefault="00BC7313" w:rsidP="00BC7313">
      <w:pPr>
        <w:widowControl w:val="0"/>
        <w:spacing w:after="0" w:line="240" w:lineRule="exact"/>
        <w:ind w:left="210" w:hanging="210"/>
        <w:rPr>
          <w:sz w:val="22"/>
          <w:rtl/>
        </w:rPr>
      </w:pPr>
      <w:r w:rsidRPr="00BC7313">
        <w:rPr>
          <w:sz w:val="22"/>
          <w:rtl/>
        </w:rPr>
        <w:t xml:space="preserve">1. למסקנת סוגייתנו, האם מותר לסופרים לכתוב טופסי </w:t>
      </w:r>
      <w:proofErr w:type="spellStart"/>
      <w:r w:rsidRPr="00BC7313">
        <w:rPr>
          <w:sz w:val="22"/>
          <w:rtl/>
        </w:rPr>
        <w:t>גטין</w:t>
      </w:r>
      <w:proofErr w:type="spellEnd"/>
      <w:r w:rsidRPr="00BC7313">
        <w:rPr>
          <w:sz w:val="22"/>
          <w:rtl/>
        </w:rPr>
        <w:t xml:space="preserve"> מראש? למה?</w:t>
      </w:r>
    </w:p>
    <w:p w:rsidR="00BC7313" w:rsidRPr="00BC7313" w:rsidRDefault="00BC7313" w:rsidP="00BC7313">
      <w:pPr>
        <w:widowControl w:val="0"/>
        <w:spacing w:after="0" w:line="240" w:lineRule="exact"/>
        <w:ind w:left="210" w:hanging="210"/>
        <w:rPr>
          <w:sz w:val="22"/>
          <w:rtl/>
        </w:rPr>
      </w:pPr>
      <w:r w:rsidRPr="00BC7313">
        <w:rPr>
          <w:sz w:val="22"/>
          <w:rtl/>
        </w:rPr>
        <w:t xml:space="preserve">2. מה הדין בכותב טופס הגט במחובר, ובכתיבת הטופס על ידי </w:t>
      </w:r>
      <w:proofErr w:type="spellStart"/>
      <w:r w:rsidRPr="00BC7313">
        <w:rPr>
          <w:sz w:val="22"/>
          <w:rtl/>
        </w:rPr>
        <w:t>חש"ו</w:t>
      </w:r>
      <w:proofErr w:type="spellEnd"/>
      <w:r w:rsidRPr="00BC7313">
        <w:rPr>
          <w:sz w:val="22"/>
          <w:rtl/>
        </w:rPr>
        <w:t>?</w:t>
      </w:r>
    </w:p>
    <w:p w:rsidR="00BC7313" w:rsidRPr="00BC7313" w:rsidRDefault="00BC7313" w:rsidP="00BC7313">
      <w:pPr>
        <w:widowControl w:val="0"/>
        <w:spacing w:after="0" w:line="240" w:lineRule="exact"/>
        <w:rPr>
          <w:sz w:val="22"/>
          <w:rtl/>
        </w:rPr>
      </w:pPr>
      <w:r w:rsidRPr="00BC7313">
        <w:rPr>
          <w:sz w:val="22"/>
          <w:rtl/>
        </w:rPr>
        <w:t>3. איך הראשונים "מיישרים קו" בין הסוגיות השונות?</w:t>
      </w:r>
    </w:p>
    <w:p w:rsidR="00BC7313" w:rsidRPr="00BC7313" w:rsidRDefault="00BC7313" w:rsidP="00BC7313">
      <w:pPr>
        <w:widowControl w:val="0"/>
        <w:spacing w:after="0" w:line="240" w:lineRule="exact"/>
        <w:rPr>
          <w:sz w:val="22"/>
          <w:rtl/>
        </w:rPr>
      </w:pPr>
      <w:r w:rsidRPr="00BC7313">
        <w:rPr>
          <w:sz w:val="22"/>
          <w:rtl/>
        </w:rPr>
        <w:t>4. מהו פסק הרמב"ם בנידון?</w:t>
      </w:r>
    </w:p>
    <w:p w:rsidR="00BC7313" w:rsidRPr="00BC7313" w:rsidRDefault="00BC7313" w:rsidP="00BC7313">
      <w:pPr>
        <w:widowControl w:val="0"/>
        <w:spacing w:after="0" w:line="240" w:lineRule="exact"/>
        <w:rPr>
          <w:sz w:val="22"/>
          <w:rtl/>
        </w:rPr>
      </w:pPr>
      <w:r w:rsidRPr="00BC7313">
        <w:rPr>
          <w:sz w:val="22"/>
          <w:rtl/>
        </w:rPr>
        <w:t>5. הסבר את שתי הדעות בירושלמי.</w:t>
      </w:r>
    </w:p>
    <w:p w:rsidR="00950094" w:rsidRDefault="00950094" w:rsidP="00BC7313">
      <w:pPr>
        <w:widowControl w:val="0"/>
        <w:spacing w:line="240" w:lineRule="exact"/>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 * * * * * * * * *</w:t>
            </w:r>
          </w:p>
        </w:tc>
        <w:tc>
          <w:tcPr>
            <w:tcW w:w="4111" w:type="dxa"/>
            <w:tcBorders>
              <w:top w:val="nil"/>
              <w:left w:val="nil"/>
              <w:bottom w:val="nil"/>
              <w:right w:val="nil"/>
            </w:tcBorders>
          </w:tcPr>
          <w:p w:rsidR="00CA4E9E" w:rsidRDefault="007675FA" w:rsidP="00F734D6">
            <w:pPr>
              <w:pStyle w:val="a2"/>
              <w:rPr>
                <w:noProof w:val="0"/>
                <w:rtl/>
              </w:rPr>
            </w:pPr>
            <w:r>
              <w:rPr>
                <w:noProof w:val="0"/>
                <w:rtl/>
              </w:rPr>
              <w:t>כל הזכויות שמורות לישיבת הר עציון</w:t>
            </w:r>
            <w:r w:rsidR="00CA4E9E">
              <w:rPr>
                <w:noProof w:val="0"/>
                <w:rtl/>
              </w:rPr>
              <w:t>, תשס"ו</w:t>
            </w:r>
          </w:p>
          <w:p w:rsidR="00CA4E9E" w:rsidRDefault="00CA4E9E" w:rsidP="00F734D6">
            <w:pPr>
              <w:pStyle w:val="a2"/>
              <w:rPr>
                <w:noProof w:val="0"/>
                <w:rtl/>
              </w:rPr>
            </w:pPr>
            <w:r>
              <w:rPr>
                <w:noProof w:val="0"/>
                <w:rtl/>
              </w:rPr>
              <w:t xml:space="preserve">עורך: </w:t>
            </w:r>
            <w:r w:rsidR="00332489">
              <w:rPr>
                <w:noProof w:val="0"/>
                <w:rtl/>
              </w:rPr>
              <w:t>יהונתן סלע</w:t>
            </w:r>
          </w:p>
          <w:p w:rsidR="00CA4E9E" w:rsidRDefault="00CA4E9E" w:rsidP="00F734D6">
            <w:pPr>
              <w:pStyle w:val="a2"/>
              <w:rPr>
                <w:noProof w:val="0"/>
                <w:rtl/>
              </w:rPr>
            </w:pPr>
            <w:r>
              <w:rPr>
                <w:noProof w:val="0"/>
                <w:rtl/>
              </w:rPr>
              <w:t>*******************************************************</w:t>
            </w:r>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F734D6">
            <w:pPr>
              <w:pStyle w:val="a2"/>
              <w:rPr>
                <w:noProof w:val="0"/>
                <w:rtl/>
              </w:rPr>
            </w:pPr>
            <w:r>
              <w:rPr>
                <w:noProof w:val="0"/>
                <w:rtl/>
              </w:rPr>
              <w:t>האתר בעברית:</w:t>
            </w:r>
            <w:r>
              <w:rPr>
                <w:noProof w:val="0"/>
                <w:rtl/>
              </w:rPr>
              <w:tab/>
            </w:r>
            <w:hyperlink r:id="rId9" w:history="1">
              <w:r w:rsidR="00201923">
                <w:rPr>
                  <w:rStyle w:val="Hyperlink"/>
                </w:rPr>
                <w:t>http://www.etzion.org.il</w:t>
              </w:r>
            </w:hyperlink>
          </w:p>
          <w:p w:rsidR="00CA4E9E" w:rsidRDefault="00CA4E9E" w:rsidP="00F734D6">
            <w:pPr>
              <w:pStyle w:val="a2"/>
              <w:rPr>
                <w:noProof w:val="0"/>
                <w:rtl/>
              </w:rPr>
            </w:pPr>
            <w:r>
              <w:rPr>
                <w:noProof w:val="0"/>
                <w:rtl/>
              </w:rPr>
              <w:t>האתר באנגלית:</w:t>
            </w:r>
            <w:r>
              <w:rPr>
                <w:noProof w:val="0"/>
                <w:rtl/>
              </w:rPr>
              <w:tab/>
            </w:r>
            <w:hyperlink r:id="rId10" w:history="1">
              <w:r w:rsidRPr="007675FA">
                <w:rPr>
                  <w:rStyle w:val="Hyperlink"/>
                </w:rPr>
                <w:t>http://www.vbm-torah.org</w:t>
              </w:r>
            </w:hyperlink>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F734D6">
            <w:pPr>
              <w:pStyle w:val="a2"/>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CA4E9E" w:rsidRDefault="00CA4E9E" w:rsidP="00F734D6">
            <w:pPr>
              <w:pStyle w:val="a2"/>
              <w:rPr>
                <w:noProof w:val="0"/>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bl>
    <w:p w:rsidR="00D246FA" w:rsidRDefault="00D246FA" w:rsidP="004149AB">
      <w:pPr>
        <w:rPr>
          <w:rtl/>
        </w:rPr>
      </w:pPr>
    </w:p>
    <w:sectPr w:rsidR="00D246FA">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73" w:rsidRDefault="00566373">
      <w:r>
        <w:separator/>
      </w:r>
    </w:p>
  </w:endnote>
  <w:endnote w:type="continuationSeparator" w:id="0">
    <w:p w:rsidR="00566373" w:rsidRDefault="0056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73" w:rsidRDefault="00566373">
      <w:r>
        <w:separator/>
      </w:r>
    </w:p>
  </w:footnote>
  <w:footnote w:type="continuationSeparator" w:id="0">
    <w:p w:rsidR="00566373" w:rsidRDefault="0056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474C5">
      <w:rPr>
        <w:b/>
        <w:bCs/>
        <w:noProof/>
        <w:sz w:val="21"/>
        <w:rtl/>
      </w:rPr>
      <w:t>2</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201923" w:rsidP="00201923">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17"/>
    <w:multiLevelType w:val="hybridMultilevel"/>
    <w:tmpl w:val="B5AC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7987937"/>
    <w:multiLevelType w:val="hybridMultilevel"/>
    <w:tmpl w:val="54301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6">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7">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1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1">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2">
    <w:nsid w:val="26875073"/>
    <w:multiLevelType w:val="hybridMultilevel"/>
    <w:tmpl w:val="0F048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4">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6">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7">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9">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2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21">
    <w:nsid w:val="40217101"/>
    <w:multiLevelType w:val="hybridMultilevel"/>
    <w:tmpl w:val="7FB4ACA8"/>
    <w:lvl w:ilvl="0" w:tplc="A920ADF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4">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5">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7">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7F2C1D"/>
    <w:multiLevelType w:val="hybridMultilevel"/>
    <w:tmpl w:val="C2248D78"/>
    <w:lvl w:ilvl="0" w:tplc="EA9879F8">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3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3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33">
    <w:nsid w:val="5F202647"/>
    <w:multiLevelType w:val="hybridMultilevel"/>
    <w:tmpl w:val="4D2050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7">
    <w:nsid w:val="637F5B00"/>
    <w:multiLevelType w:val="hybridMultilevel"/>
    <w:tmpl w:val="8ED61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9">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42">
    <w:nsid w:val="728517AA"/>
    <w:multiLevelType w:val="hybridMultilevel"/>
    <w:tmpl w:val="04BE5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44">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45">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46">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1AD6"/>
    <w:rsid w:val="00033D21"/>
    <w:rsid w:val="000407D3"/>
    <w:rsid w:val="0005121A"/>
    <w:rsid w:val="00061F9D"/>
    <w:rsid w:val="00065200"/>
    <w:rsid w:val="00090B74"/>
    <w:rsid w:val="0009220A"/>
    <w:rsid w:val="000A7A9B"/>
    <w:rsid w:val="000B2015"/>
    <w:rsid w:val="000B5981"/>
    <w:rsid w:val="000B6138"/>
    <w:rsid w:val="000C3095"/>
    <w:rsid w:val="000E6912"/>
    <w:rsid w:val="000F0293"/>
    <w:rsid w:val="00105126"/>
    <w:rsid w:val="001225F6"/>
    <w:rsid w:val="001231AC"/>
    <w:rsid w:val="0012482F"/>
    <w:rsid w:val="00141826"/>
    <w:rsid w:val="001472B1"/>
    <w:rsid w:val="00147F88"/>
    <w:rsid w:val="001568DB"/>
    <w:rsid w:val="001570A0"/>
    <w:rsid w:val="0016009A"/>
    <w:rsid w:val="00184BF6"/>
    <w:rsid w:val="00195031"/>
    <w:rsid w:val="00196895"/>
    <w:rsid w:val="001A7A33"/>
    <w:rsid w:val="001B75A8"/>
    <w:rsid w:val="001C043B"/>
    <w:rsid w:val="001C1C7E"/>
    <w:rsid w:val="001C5BB8"/>
    <w:rsid w:val="001C6A76"/>
    <w:rsid w:val="001C727F"/>
    <w:rsid w:val="001C744D"/>
    <w:rsid w:val="001D7FBF"/>
    <w:rsid w:val="001F6A81"/>
    <w:rsid w:val="00201923"/>
    <w:rsid w:val="0020679D"/>
    <w:rsid w:val="00207380"/>
    <w:rsid w:val="00212325"/>
    <w:rsid w:val="00223193"/>
    <w:rsid w:val="002232F7"/>
    <w:rsid w:val="002237D8"/>
    <w:rsid w:val="00233098"/>
    <w:rsid w:val="00234630"/>
    <w:rsid w:val="00242FDB"/>
    <w:rsid w:val="002523B4"/>
    <w:rsid w:val="002564F5"/>
    <w:rsid w:val="00256B1A"/>
    <w:rsid w:val="002804B3"/>
    <w:rsid w:val="002A15EE"/>
    <w:rsid w:val="002B3F3B"/>
    <w:rsid w:val="002B6FFE"/>
    <w:rsid w:val="002D5136"/>
    <w:rsid w:val="002E5538"/>
    <w:rsid w:val="002E7501"/>
    <w:rsid w:val="002F33B1"/>
    <w:rsid w:val="003162C5"/>
    <w:rsid w:val="003237F5"/>
    <w:rsid w:val="0032598B"/>
    <w:rsid w:val="00330853"/>
    <w:rsid w:val="00332489"/>
    <w:rsid w:val="003324BD"/>
    <w:rsid w:val="003412D1"/>
    <w:rsid w:val="0035650D"/>
    <w:rsid w:val="00360C62"/>
    <w:rsid w:val="00361BED"/>
    <w:rsid w:val="003907DB"/>
    <w:rsid w:val="00390837"/>
    <w:rsid w:val="00396005"/>
    <w:rsid w:val="003A5E55"/>
    <w:rsid w:val="003B4C5E"/>
    <w:rsid w:val="003C25AA"/>
    <w:rsid w:val="003E203D"/>
    <w:rsid w:val="00413328"/>
    <w:rsid w:val="004149AB"/>
    <w:rsid w:val="00422DBE"/>
    <w:rsid w:val="00425CC9"/>
    <w:rsid w:val="00436D76"/>
    <w:rsid w:val="004425DD"/>
    <w:rsid w:val="00445940"/>
    <w:rsid w:val="00462593"/>
    <w:rsid w:val="00463CBE"/>
    <w:rsid w:val="00476C67"/>
    <w:rsid w:val="004808FA"/>
    <w:rsid w:val="004A4CF1"/>
    <w:rsid w:val="004C627F"/>
    <w:rsid w:val="004D1E6C"/>
    <w:rsid w:val="004E731F"/>
    <w:rsid w:val="0051404B"/>
    <w:rsid w:val="00515146"/>
    <w:rsid w:val="0051518D"/>
    <w:rsid w:val="0051555A"/>
    <w:rsid w:val="00522EEC"/>
    <w:rsid w:val="00532685"/>
    <w:rsid w:val="005441B6"/>
    <w:rsid w:val="00551E15"/>
    <w:rsid w:val="00566373"/>
    <w:rsid w:val="00570D01"/>
    <w:rsid w:val="00582524"/>
    <w:rsid w:val="00584F1F"/>
    <w:rsid w:val="005A46F8"/>
    <w:rsid w:val="005A507F"/>
    <w:rsid w:val="005A798E"/>
    <w:rsid w:val="005B3283"/>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5AC"/>
    <w:rsid w:val="0079480D"/>
    <w:rsid w:val="007B242A"/>
    <w:rsid w:val="007E3BB0"/>
    <w:rsid w:val="007E3FB0"/>
    <w:rsid w:val="007E5688"/>
    <w:rsid w:val="007F249F"/>
    <w:rsid w:val="007F381C"/>
    <w:rsid w:val="00812F14"/>
    <w:rsid w:val="00814AFB"/>
    <w:rsid w:val="00857848"/>
    <w:rsid w:val="008816E7"/>
    <w:rsid w:val="00883332"/>
    <w:rsid w:val="008A6B36"/>
    <w:rsid w:val="008B2946"/>
    <w:rsid w:val="008C4A9D"/>
    <w:rsid w:val="008C6D8D"/>
    <w:rsid w:val="008E0111"/>
    <w:rsid w:val="008E0AF3"/>
    <w:rsid w:val="008F18B8"/>
    <w:rsid w:val="008F3595"/>
    <w:rsid w:val="008F57D8"/>
    <w:rsid w:val="008F6C19"/>
    <w:rsid w:val="0090318D"/>
    <w:rsid w:val="00904AD0"/>
    <w:rsid w:val="00916B5B"/>
    <w:rsid w:val="00925B52"/>
    <w:rsid w:val="0093078F"/>
    <w:rsid w:val="00946061"/>
    <w:rsid w:val="00950094"/>
    <w:rsid w:val="00952FAF"/>
    <w:rsid w:val="0097110F"/>
    <w:rsid w:val="00976B14"/>
    <w:rsid w:val="00977FFC"/>
    <w:rsid w:val="009831CD"/>
    <w:rsid w:val="0098591D"/>
    <w:rsid w:val="009A12D6"/>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496A"/>
    <w:rsid w:val="00A36B61"/>
    <w:rsid w:val="00A73EFE"/>
    <w:rsid w:val="00A8182D"/>
    <w:rsid w:val="00A86A01"/>
    <w:rsid w:val="00AA036F"/>
    <w:rsid w:val="00AA5848"/>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003F"/>
    <w:rsid w:val="00B85DE6"/>
    <w:rsid w:val="00B9082F"/>
    <w:rsid w:val="00BA67E7"/>
    <w:rsid w:val="00BB497B"/>
    <w:rsid w:val="00BC3090"/>
    <w:rsid w:val="00BC3E32"/>
    <w:rsid w:val="00BC4C83"/>
    <w:rsid w:val="00BC5A42"/>
    <w:rsid w:val="00BC7313"/>
    <w:rsid w:val="00BC74DC"/>
    <w:rsid w:val="00BD13E6"/>
    <w:rsid w:val="00BD38E6"/>
    <w:rsid w:val="00BE1E43"/>
    <w:rsid w:val="00BF2212"/>
    <w:rsid w:val="00BF3F3C"/>
    <w:rsid w:val="00BF4FF3"/>
    <w:rsid w:val="00C05E39"/>
    <w:rsid w:val="00C30E48"/>
    <w:rsid w:val="00C4736F"/>
    <w:rsid w:val="00C74290"/>
    <w:rsid w:val="00C74E38"/>
    <w:rsid w:val="00C86970"/>
    <w:rsid w:val="00CA0B8B"/>
    <w:rsid w:val="00CA13F6"/>
    <w:rsid w:val="00CA4E9E"/>
    <w:rsid w:val="00CC79CC"/>
    <w:rsid w:val="00CD401D"/>
    <w:rsid w:val="00CD4792"/>
    <w:rsid w:val="00CD4FF3"/>
    <w:rsid w:val="00CD6F1D"/>
    <w:rsid w:val="00CE49D1"/>
    <w:rsid w:val="00CF6DB4"/>
    <w:rsid w:val="00D060B5"/>
    <w:rsid w:val="00D1114C"/>
    <w:rsid w:val="00D246FA"/>
    <w:rsid w:val="00D57A54"/>
    <w:rsid w:val="00D6226F"/>
    <w:rsid w:val="00D65646"/>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474C5"/>
    <w:rsid w:val="00E7637B"/>
    <w:rsid w:val="00E8498E"/>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078D5"/>
    <w:rsid w:val="00F13307"/>
    <w:rsid w:val="00F36C01"/>
    <w:rsid w:val="00F44AFE"/>
    <w:rsid w:val="00F45E12"/>
    <w:rsid w:val="00F47A5A"/>
    <w:rsid w:val="00F61A71"/>
    <w:rsid w:val="00F66DD4"/>
    <w:rsid w:val="00F70934"/>
    <w:rsid w:val="00F734D6"/>
    <w:rsid w:val="00F739CE"/>
    <w:rsid w:val="00F87012"/>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9B%D7%94-%D7%9B%D7%95-%D7%93%D7%99%D7%9F-%D7%91%D7%A8%D7%99%D7%A8%D7%94-%D7%9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2220</Words>
  <Characters>9769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4</cp:revision>
  <cp:lastPrinted>2005-12-27T02:53:00Z</cp:lastPrinted>
  <dcterms:created xsi:type="dcterms:W3CDTF">2019-04-10T08:40:00Z</dcterms:created>
  <dcterms:modified xsi:type="dcterms:W3CDTF">2019-04-10T08:43:00Z</dcterms:modified>
</cp:coreProperties>
</file>